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/>
        <w:jc w:val="center"/>
        <w:rPr>
          <w:lang w:val="ru-RU"/>
        </w:rPr>
      </w:pPr>
      <w:r>
        <w:rPr>
          <w:sz w:val="24"/>
          <w:lang w:val="ru-RU"/>
        </w:rPr>
        <w:t>МЕЖДУНАРОДНЫЙ ЧЕМПИОНАТ ВЫСОКОТЕХНОЛОГИЧНЫХ ПРОФЕССИЙ</w:t>
      </w:r>
    </w:p>
    <w:p>
      <w:pPr>
        <w:pStyle w:val="Normal"/>
        <w:ind w:hanging="0"/>
        <w:jc w:val="center"/>
        <w:rPr>
          <w:lang w:val="ru-RU"/>
        </w:rPr>
      </w:pPr>
      <w:r>
        <w:rPr>
          <w:sz w:val="24"/>
          <w:lang w:val="ru-RU"/>
        </w:rPr>
        <w:t>«ХАЙТЕК: НАВЫКИ БУДУЩЕГО» — 2026</w:t>
      </w:r>
    </w:p>
    <w:p>
      <w:pPr>
        <w:pStyle w:val="Normal"/>
        <w:ind w:hanging="0"/>
        <w:jc w:val="center"/>
        <w:rPr>
          <w:lang w:val="ru-RU"/>
        </w:rPr>
      </w:pPr>
      <w:r>
        <w:rPr>
          <w:sz w:val="24"/>
          <w:lang w:val="ru-RU"/>
        </w:rPr>
        <w:t>Компетенция «Цифровая трансформация»</w:t>
      </w:r>
    </w:p>
    <w:p>
      <w:pPr>
        <w:pStyle w:val="Normal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center"/>
        <w:rPr>
          <w:lang w:val="ru-RU"/>
        </w:rPr>
      </w:pPr>
      <w:r>
        <w:rPr>
          <w:b/>
          <w:sz w:val="38"/>
          <w:lang w:val="ru-RU"/>
        </w:rPr>
        <w:t>ОТЧЁТ</w:t>
      </w:r>
    </w:p>
    <w:p>
      <w:pPr>
        <w:pStyle w:val="Normal"/>
        <w:ind w:hanging="0"/>
        <w:jc w:val="center"/>
        <w:rPr>
          <w:lang w:val="ru-RU"/>
        </w:rPr>
      </w:pPr>
      <w:r>
        <w:rPr>
          <w:b/>
          <w:sz w:val="32"/>
          <w:lang w:val="ru-RU"/>
        </w:rPr>
        <w:t>о результатах анализа предметной области</w:t>
      </w:r>
    </w:p>
    <w:p>
      <w:pPr>
        <w:pStyle w:val="Normal"/>
        <w:ind w:hanging="0"/>
        <w:jc w:val="center"/>
        <w:rPr>
          <w:lang w:val="ru-RU"/>
        </w:rPr>
      </w:pPr>
      <w:r>
        <w:rPr>
          <w:color w:val="163044"/>
          <w:sz w:val="30"/>
          <w:lang w:val="ru-RU"/>
        </w:rPr>
        <w:t>«</w:t>
      </w:r>
      <w:r>
        <w:rPr>
          <w:b/>
          <w:bCs/>
          <w:color w:val="163044"/>
          <w:sz w:val="30"/>
          <w:lang w:val="ru-RU"/>
        </w:rPr>
        <w:t>Яндекс Роверы: масштабирование автономной доставки в городской среде</w:t>
      </w:r>
      <w:r>
        <w:rPr>
          <w:color w:val="163044"/>
          <w:sz w:val="30"/>
          <w:lang w:val="ru-RU"/>
        </w:rPr>
        <w:t>»</w:t>
      </w:r>
    </w:p>
    <w:p>
      <w:pPr>
        <w:pStyle w:val="Normal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center"/>
        <w:rPr>
          <w:lang w:val="ru-RU"/>
        </w:rPr>
      </w:pPr>
      <w:r>
        <w:rPr>
          <w:lang w:val="ru-RU"/>
        </w:rPr>
        <w:t xml:space="preserve">Модуль </w:t>
      </w:r>
      <w:r>
        <w:rPr/>
        <w:t>A</w:t>
      </w:r>
      <w:r>
        <w:rPr>
          <w:lang w:val="ru-RU"/>
        </w:rPr>
        <w:t xml:space="preserve">  |   </w:t>
      </w:r>
      <w:r>
        <w:rPr>
          <w:lang w:val="ru-RU"/>
        </w:rPr>
        <w:t>К</w:t>
      </w:r>
      <w:r>
        <w:rPr>
          <w:lang w:val="ru-RU"/>
        </w:rPr>
        <w:t>онкурсн</w:t>
      </w:r>
      <w:r>
        <w:rPr>
          <w:lang w:val="ru-RU"/>
        </w:rPr>
        <w:t>ый</w:t>
      </w:r>
      <w:r>
        <w:rPr>
          <w:lang w:val="ru-RU"/>
        </w:rPr>
        <w:t xml:space="preserve"> отчёт</w:t>
      </w:r>
    </w:p>
    <w:p>
      <w:pPr>
        <w:pStyle w:val="Normal"/>
        <w:ind w:hanging="0"/>
        <w:jc w:val="center"/>
        <w:rPr>
          <w:lang w:val="ru-RU"/>
        </w:rPr>
      </w:pPr>
      <w:r>
        <w:rPr>
          <w:lang w:val="ru-RU"/>
        </w:rPr>
        <w:t>26 октября 2026 года</w:t>
      </w:r>
    </w:p>
    <w:p>
      <w:pPr>
        <w:pStyle w:val="Normal"/>
        <w:ind w:hanging="0"/>
        <w:jc w:val="center"/>
        <w:rPr>
          <w:lang w:val="ru-RU"/>
        </w:rPr>
      </w:pPr>
      <w:r>
        <w:rPr>
          <w:lang w:val="ru-RU"/>
        </w:rPr>
        <w:t>2026</w:t>
      </w:r>
    </w:p>
    <w:p>
      <w:pPr>
        <w:pStyle w:val="Normal"/>
        <w:jc w:val="both"/>
        <w:rPr>
          <w:lang w:val="ru-RU"/>
        </w:rPr>
      </w:pPr>
      <w:r>
        <w:rPr>
          <w:lang w:val="ru-RU"/>
        </w:rPr>
      </w:r>
      <w:r>
        <w:br w:type="page"/>
      </w:r>
    </w:p>
    <w:p>
      <w:pPr>
        <w:pStyle w:val="Heading1"/>
        <w:spacing w:before="0" w:after="160"/>
        <w:jc w:val="both"/>
        <w:rPr>
          <w:lang w:val="ru-RU"/>
        </w:rPr>
      </w:pPr>
      <w:r>
        <w:rPr>
          <w:lang w:val="ru-RU"/>
        </w:rPr>
        <w:t>СОДЕРЖАНИЕ</w:t>
      </w:r>
    </w:p>
    <w:p>
      <w:pPr>
        <w:pStyle w:val="Contents"/>
        <w:tabs>
          <w:tab w:val="clear" w:pos="720"/>
          <w:tab w:val="right" w:pos="9071" w:leader="dot"/>
        </w:tabs>
        <w:jc w:val="both"/>
        <w:rPr>
          <w:lang w:val="ru-RU"/>
        </w:rPr>
      </w:pPr>
      <w:r>
        <w:rPr>
          <w:lang w:val="ru-RU"/>
        </w:rPr>
        <w:t>1. Анализ предметной области</w:t>
        <w:tab/>
        <w:t>3</w:t>
      </w:r>
    </w:p>
    <w:p>
      <w:pPr>
        <w:pStyle w:val="Contents"/>
        <w:tabs>
          <w:tab w:val="clear" w:pos="720"/>
          <w:tab w:val="right" w:pos="9071" w:leader="dot"/>
        </w:tabs>
        <w:jc w:val="both"/>
        <w:rPr>
          <w:lang w:val="ru-RU"/>
        </w:rPr>
      </w:pPr>
      <w:r>
        <w:rPr>
          <w:lang w:val="ru-RU"/>
        </w:rPr>
        <w:t xml:space="preserve">2. </w:t>
      </w:r>
      <w:r>
        <w:rPr/>
        <w:t>PEST</w:t>
      </w:r>
      <w:r>
        <w:rPr>
          <w:lang w:val="ru-RU"/>
        </w:rPr>
        <w:t>-анализ внешней среды</w:t>
        <w:tab/>
        <w:t>7</w:t>
      </w:r>
    </w:p>
    <w:p>
      <w:pPr>
        <w:pStyle w:val="Contents"/>
        <w:tabs>
          <w:tab w:val="clear" w:pos="720"/>
          <w:tab w:val="right" w:pos="9071" w:leader="dot"/>
        </w:tabs>
        <w:jc w:val="both"/>
        <w:rPr>
          <w:lang w:val="ru-RU"/>
        </w:rPr>
      </w:pPr>
      <w:r>
        <w:rPr>
          <w:lang w:val="ru-RU"/>
        </w:rPr>
        <w:t xml:space="preserve">3. </w:t>
      </w:r>
      <w:r>
        <w:rPr/>
        <w:t>SWOT</w:t>
      </w:r>
      <w:r>
        <w:rPr>
          <w:lang w:val="ru-RU"/>
        </w:rPr>
        <w:t>-анализ организации</w:t>
        <w:tab/>
        <w:t>9</w:t>
      </w:r>
    </w:p>
    <w:p>
      <w:pPr>
        <w:pStyle w:val="Contents"/>
        <w:tabs>
          <w:tab w:val="clear" w:pos="720"/>
          <w:tab w:val="right" w:pos="9071" w:leader="dot"/>
        </w:tabs>
        <w:jc w:val="both"/>
        <w:rPr>
          <w:lang w:val="ru-RU"/>
        </w:rPr>
      </w:pPr>
      <w:r>
        <w:rPr>
          <w:lang w:val="ru-RU"/>
        </w:rPr>
        <w:t>4. Выбор и обоснование стратегии развития</w:t>
        <w:tab/>
        <w:t>11</w:t>
      </w:r>
    </w:p>
    <w:p>
      <w:pPr>
        <w:pStyle w:val="Contents"/>
        <w:tabs>
          <w:tab w:val="clear" w:pos="720"/>
          <w:tab w:val="right" w:pos="9071" w:leader="dot"/>
        </w:tabs>
        <w:jc w:val="both"/>
        <w:rPr>
          <w:lang w:val="ru-RU"/>
        </w:rPr>
      </w:pPr>
      <w:r>
        <w:rPr>
          <w:lang w:val="ru-RU"/>
        </w:rPr>
        <w:t>5. Стратегическая цель, дерево целей и задачи</w:t>
        <w:tab/>
        <w:t>14</w:t>
      </w:r>
    </w:p>
    <w:p>
      <w:pPr>
        <w:pStyle w:val="Contents"/>
        <w:tabs>
          <w:tab w:val="clear" w:pos="720"/>
          <w:tab w:val="right" w:pos="9071" w:leader="dot"/>
        </w:tabs>
        <w:jc w:val="both"/>
        <w:rPr>
          <w:lang w:val="ru-RU"/>
        </w:rPr>
      </w:pPr>
      <w:r>
        <w:rPr>
          <w:lang w:val="ru-RU"/>
        </w:rPr>
        <w:t>6. Ключевые показатели эффективности</w:t>
        <w:tab/>
        <w:t>16</w:t>
      </w:r>
    </w:p>
    <w:p>
      <w:pPr>
        <w:pStyle w:val="Contents"/>
        <w:tabs>
          <w:tab w:val="clear" w:pos="720"/>
          <w:tab w:val="right" w:pos="9071" w:leader="dot"/>
        </w:tabs>
        <w:jc w:val="both"/>
        <w:rPr>
          <w:lang w:val="ru-RU"/>
        </w:rPr>
      </w:pPr>
      <w:r>
        <w:rPr>
          <w:lang w:val="ru-RU"/>
        </w:rPr>
        <w:t>7. Нормативно-правовое регулирование и стандарты</w:t>
        <w:tab/>
        <w:t>18</w:t>
      </w:r>
    </w:p>
    <w:p>
      <w:pPr>
        <w:pStyle w:val="Contents"/>
        <w:tabs>
          <w:tab w:val="clear" w:pos="720"/>
          <w:tab w:val="right" w:pos="9071" w:leader="dot"/>
        </w:tabs>
        <w:jc w:val="both"/>
        <w:rPr>
          <w:lang w:val="ru-RU"/>
        </w:rPr>
      </w:pPr>
      <w:r>
        <w:rPr>
          <w:lang w:val="ru-RU"/>
        </w:rPr>
        <w:t>8. Предварительный патентный анализ</w:t>
        <w:tab/>
        <w:t>20</w:t>
      </w:r>
    </w:p>
    <w:p>
      <w:pPr>
        <w:pStyle w:val="Contents"/>
        <w:tabs>
          <w:tab w:val="clear" w:pos="720"/>
          <w:tab w:val="right" w:pos="9071" w:leader="dot"/>
        </w:tabs>
        <w:jc w:val="both"/>
        <w:rPr>
          <w:lang w:val="ru-RU"/>
        </w:rPr>
      </w:pPr>
      <w:r>
        <w:rPr>
          <w:lang w:val="ru-RU"/>
        </w:rPr>
        <w:t xml:space="preserve">9. Организационная структура </w:t>
      </w:r>
      <w:r>
        <w:rPr/>
        <w:t>AS</w:t>
      </w:r>
      <w:r>
        <w:rPr>
          <w:lang w:val="ru-RU"/>
        </w:rPr>
        <w:t>-</w:t>
      </w:r>
      <w:r>
        <w:rPr/>
        <w:t>IS</w:t>
      </w:r>
      <w:r>
        <w:rPr>
          <w:lang w:val="ru-RU"/>
        </w:rPr>
        <w:tab/>
        <w:t>21</w:t>
      </w:r>
    </w:p>
    <w:p>
      <w:pPr>
        <w:pStyle w:val="Contents"/>
        <w:tabs>
          <w:tab w:val="clear" w:pos="720"/>
          <w:tab w:val="right" w:pos="9071" w:leader="dot"/>
        </w:tabs>
        <w:jc w:val="both"/>
        <w:rPr>
          <w:lang w:val="ru-RU"/>
        </w:rPr>
      </w:pPr>
      <w:r>
        <w:rPr>
          <w:lang w:val="ru-RU"/>
        </w:rPr>
        <w:t xml:space="preserve">10. Бизнес-процессы </w:t>
      </w:r>
      <w:r>
        <w:rPr/>
        <w:t>AS</w:t>
      </w:r>
      <w:r>
        <w:rPr>
          <w:lang w:val="ru-RU"/>
        </w:rPr>
        <w:t>-</w:t>
      </w:r>
      <w:r>
        <w:rPr/>
        <w:t>IS</w:t>
      </w:r>
      <w:r>
        <w:rPr>
          <w:lang w:val="ru-RU"/>
        </w:rPr>
        <w:t xml:space="preserve"> и </w:t>
      </w:r>
      <w:r>
        <w:rPr/>
        <w:t>BPMN</w:t>
      </w:r>
      <w:r>
        <w:rPr>
          <w:lang w:val="ru-RU"/>
        </w:rPr>
        <w:t xml:space="preserve"> 2.0</w:t>
        <w:tab/>
        <w:t>23</w:t>
      </w:r>
    </w:p>
    <w:p>
      <w:pPr>
        <w:pStyle w:val="Contents"/>
        <w:tabs>
          <w:tab w:val="clear" w:pos="720"/>
          <w:tab w:val="right" w:pos="9071" w:leader="dot"/>
        </w:tabs>
        <w:jc w:val="both"/>
        <w:rPr>
          <w:lang w:val="ru-RU"/>
        </w:rPr>
      </w:pPr>
      <w:r>
        <w:rPr>
          <w:lang w:val="ru-RU"/>
        </w:rPr>
        <w:t>ЗАКЛЮЧЕНИЕ</w:t>
        <w:tab/>
        <w:t>25</w:t>
      </w:r>
    </w:p>
    <w:p>
      <w:pPr>
        <w:pStyle w:val="Contents"/>
        <w:tabs>
          <w:tab w:val="clear" w:pos="720"/>
          <w:tab w:val="right" w:pos="9071" w:leader="dot"/>
        </w:tabs>
        <w:jc w:val="both"/>
        <w:rPr>
          <w:lang w:val="ru-RU"/>
        </w:rPr>
      </w:pPr>
      <w:r>
        <w:rPr>
          <w:lang w:val="ru-RU"/>
        </w:rPr>
        <w:t>СПИСОК ИСТОЧНИКОВ</w:t>
        <w:tab/>
        <w:t>26</w:t>
      </w:r>
    </w:p>
    <w:p>
      <w:pPr>
        <w:pStyle w:val="Contents"/>
        <w:tabs>
          <w:tab w:val="clear" w:pos="720"/>
          <w:tab w:val="right" w:pos="9071" w:leader="dot"/>
        </w:tabs>
        <w:jc w:val="both"/>
        <w:rPr>
          <w:lang w:val="ru-RU"/>
        </w:rPr>
      </w:pPr>
      <w:r>
        <w:rPr>
          <w:lang w:val="ru-RU"/>
        </w:rPr>
        <w:t>ПРИЛОЖЕНИЕ А. Диаграммы BPMN 2.0</w:t>
        <w:tab/>
        <w:t>28</w:t>
      </w:r>
    </w:p>
    <w:p>
      <w:pPr>
        <w:pStyle w:val="Contents"/>
        <w:tabs>
          <w:tab w:val="clear" w:pos="720"/>
          <w:tab w:val="right" w:pos="9071" w:leader="dot"/>
        </w:tabs>
        <w:jc w:val="both"/>
        <w:rPr>
          <w:lang w:val="ru-RU"/>
        </w:rPr>
      </w:pPr>
      <w:r>
        <w:rPr>
          <w:lang w:val="ru-RU"/>
        </w:rPr>
        <w:t xml:space="preserve">ПРИЛОЖЕНИЕ Б. </w:t>
      </w:r>
      <w:r>
        <w:rPr>
          <w:lang w:val="ru-RU"/>
        </w:rPr>
        <w:t>Оргструктура</w:t>
      </w:r>
      <w:r>
        <w:rPr>
          <w:lang w:val="ru-RU"/>
        </w:rPr>
        <w:tab/>
        <w:t>29</w:t>
        <w:br/>
        <w:t xml:space="preserve">ПРИЛОЖЕНИЕ </w:t>
      </w:r>
      <w:r>
        <w:rPr>
          <w:lang w:val="ru-RU"/>
        </w:rPr>
        <w:t>С</w:t>
      </w:r>
      <w:r>
        <w:rPr>
          <w:lang w:val="ru-RU"/>
        </w:rPr>
        <w:t xml:space="preserve">. </w:t>
      </w:r>
      <w:r>
        <w:rPr>
          <w:lang w:val="ru-RU"/>
        </w:rPr>
        <w:t>Дерево целей</w:t>
      </w:r>
      <w:r>
        <w:rPr>
          <w:lang w:val="ru-RU"/>
        </w:rPr>
        <w:tab/>
        <w:t>29</w:t>
      </w:r>
    </w:p>
    <w:p>
      <w:pPr>
        <w:pStyle w:val="Normal"/>
        <w:jc w:val="both"/>
        <w:rPr>
          <w:lang w:val="ru-RU"/>
        </w:rPr>
      </w:pPr>
      <w:r>
        <w:rPr>
          <w:lang w:val="ru-RU"/>
        </w:rPr>
      </w:r>
      <w:r>
        <w:br w:type="page"/>
      </w:r>
    </w:p>
    <w:p>
      <w:pPr>
        <w:pStyle w:val="Heading1"/>
        <w:spacing w:before="0" w:after="160"/>
        <w:jc w:val="both"/>
        <w:rPr>
          <w:lang w:val="ru-RU"/>
        </w:rPr>
      </w:pPr>
      <w:r>
        <w:rPr>
          <w:lang w:val="ru-RU"/>
        </w:rPr>
        <w:t>1. АНАЛИЗ ПРЕДМЕТНОЙ ОБЛАСТИ</w:t>
      </w:r>
    </w:p>
    <w:p>
      <w:pPr>
        <w:pStyle w:val="Heading2"/>
        <w:jc w:val="both"/>
        <w:rPr>
          <w:lang w:val="ru-RU"/>
        </w:rPr>
      </w:pPr>
      <w:r>
        <w:rPr>
          <w:lang w:val="ru-RU"/>
        </w:rPr>
        <w:t>1.1. Общая характеристика Яндекс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Яндекс - </w:t>
      </w:r>
      <w:r>
        <w:rPr>
          <w:rFonts w:ascii="Times New Roman" w:hAnsi="Times New Roman"/>
          <w:sz w:val="26"/>
          <w:szCs w:val="26"/>
        </w:rPr>
        <w:t>это крупнейшая российская технологическая компания и экосистема цифровых сервисов, специализирующаяся на поисковых системах, искусственном интеллекте, электронной коммерции, облачных технологиях и транспорте. Основу бизнес-модели яндекса составляет цифовая экосистема, которая строится вокруг высокодоходного рекламного бизнеса и клиентских сервисов. Качество этой экосистемы напрямую влияет на удержание пользователей, финансовые показатели компании и эффективность рекламы</w:t>
      </w:r>
    </w:p>
    <w:p>
      <w:pPr>
        <w:pStyle w:val="Normal"/>
        <w:jc w:val="both"/>
        <w:rPr/>
      </w:pPr>
      <w:r>
        <w:rPr>
          <w:rFonts w:ascii="Times New Roman" w:hAnsi="Times New Roman"/>
          <w:sz w:val="26"/>
          <w:szCs w:val="26"/>
        </w:rPr>
        <w:t xml:space="preserve">По опубликованным сведеньям за 2025 год аудитория экосистемы выросла до 47,5 млн пользователей. (+21%) [1]. Экосистема объединяет более 90 приложений и мобильных сервисов (поиск и реклама, Такси, Маркет, Еда и Лавка, Плюс, Облако, беспилотники). </w:t>
      </w:r>
      <w:r>
        <w:rPr>
          <w:rFonts w:ascii="Times New Roman" w:hAnsi="Times New Roman"/>
          <w:sz w:val="26"/>
          <w:szCs w:val="26"/>
        </w:rPr>
        <w:t>IT ш</w:t>
      </w:r>
      <w:r>
        <w:rPr>
          <w:rFonts w:ascii="Times New Roman" w:hAnsi="Times New Roman"/>
          <w:sz w:val="26"/>
          <w:szCs w:val="26"/>
        </w:rPr>
        <w:t xml:space="preserve">тат на конец 2025 года составляет более </w:t>
      </w:r>
      <w:r>
        <w:rPr>
          <w:rStyle w:val="Strong"/>
          <w:rFonts w:ascii="Times New Roman" w:hAnsi="Times New Roman"/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31 000 сотрудников</w:t>
      </w:r>
      <w:r>
        <w:rPr>
          <w:rFonts w:ascii="Times New Roman" w:hAnsi="Times New Roman"/>
          <w:sz w:val="26"/>
          <w:szCs w:val="26"/>
        </w:rPr>
        <w:t xml:space="preserve"> и 2 700 стажёров [2]</w:t>
      </w:r>
    </w:p>
    <w:p>
      <w:pPr>
        <w:pStyle w:val="Normal"/>
        <w:jc w:val="both"/>
        <w:rPr/>
      </w:pPr>
      <w:r>
        <w:rPr>
          <w:rFonts w:ascii="Times New Roman" w:hAnsi="Times New Roman"/>
          <w:b w:val="false"/>
          <w:bCs w:val="false"/>
          <w:sz w:val="26"/>
          <w:szCs w:val="26"/>
        </w:rPr>
        <w:t>Экосистему Яндекса можно разделить на несколько ключевых бизнес-направлений, которые тесно взаимодействуют друг с другом. Первое и исторически главное направление - это п</w:t>
      </w:r>
      <w:r>
        <w:rPr>
          <w:rStyle w:val="Strong"/>
          <w:rFonts w:ascii="Times New Roman" w:hAnsi="Times New Roman"/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оиск и городские порталы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, куда входят сам поисковик, Яндекс Браузер, Погода, Карты и Навигатор. Эти сервисы собирают огромные массивы информации. Навигационные технологии Яндекса стали </w:t>
      </w:r>
      <w:r>
        <w:rPr>
          <w:rFonts w:ascii="Times New Roman" w:hAnsi="Times New Roman"/>
          <w:b w:val="false"/>
          <w:bCs w:val="false"/>
          <w:sz w:val="26"/>
          <w:szCs w:val="26"/>
        </w:rPr>
        <w:t>основой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для второго </w:t>
      </w:r>
      <w:r>
        <w:rPr>
          <w:rFonts w:ascii="Times New Roman" w:hAnsi="Times New Roman"/>
          <w:b w:val="false"/>
          <w:bCs w:val="false"/>
          <w:sz w:val="26"/>
          <w:szCs w:val="26"/>
        </w:rPr>
        <w:t>крупного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блока - </w:t>
      </w:r>
      <w:r>
        <w:rPr>
          <w:rStyle w:val="Strong"/>
          <w:rFonts w:ascii="Times New Roman" w:hAnsi="Times New Roman"/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транспортных и логистических сервисов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. Сюда относятся Яндекс Go (объединяющий заказ такси, каршеринг Яндекс Драйв, аренду самокатов и общественный транспорт), а также Яндекс Доставка, </w:t>
      </w:r>
      <w:r>
        <w:rPr>
          <w:rFonts w:ascii="Times New Roman" w:hAnsi="Times New Roman"/>
          <w:b w:val="false"/>
          <w:strike w:val="false"/>
          <w:dstrike w:val="false"/>
          <w:sz w:val="26"/>
          <w:szCs w:val="26"/>
          <w:u w:val="none"/>
          <w:effect w:val="none"/>
        </w:rPr>
        <w:t>курьерские услуги как для обычных людей, так и для бизнеса.</w:t>
      </w:r>
    </w:p>
    <w:p>
      <w:pPr>
        <w:pStyle w:val="Normal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Heading2"/>
        <w:jc w:val="both"/>
        <w:rPr>
          <w:lang w:val="ru-RU"/>
        </w:rPr>
      </w:pPr>
      <w:r>
        <w:rPr>
          <w:lang w:val="ru-RU"/>
        </w:rPr>
        <w:t>1.2. Цифровая инфраструктура и опыт роботизированной доставки</w:t>
      </w:r>
    </w:p>
    <w:p>
      <w:pPr>
        <w:pStyle w:val="Normal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strike w:val="false"/>
          <w:dstrike w:val="false"/>
          <w:sz w:val="26"/>
          <w:szCs w:val="26"/>
          <w:u w:val="none"/>
          <w:effect w:val="none"/>
          <w:lang w:val="ru-RU"/>
        </w:rPr>
        <w:t>Цифровая инфраструктура и опыт роботизированной доставки Яндекса</w:t>
      </w:r>
      <w:r>
        <w:rPr>
          <w:rFonts w:ascii="Times New Roman" w:hAnsi="Times New Roman"/>
          <w:b w:val="false"/>
          <w:bCs w:val="false"/>
          <w:sz w:val="26"/>
          <w:szCs w:val="26"/>
          <w:lang w:val="ru-RU"/>
        </w:rPr>
        <w:t xml:space="preserve"> базируются на многолетних наработках в области беспилотного транспорта (Self-Driving), на данный момент компания перешла к серийному производству роботов 4-го поколения и масштабированию флота до 20 000 роверов к концу 2027 года. [3]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  <w:lang w:val="ru-RU"/>
        </w:rPr>
        <w:t xml:space="preserve">Роботы-доставщики нового поколения оснащаются лидарами, радарами, ультразвуковыми датчиками и системой камер, обеспечивающих круговой обзор на 360 градусов. Это позволяет устройству в режиме реального времени строить плотную карту препятствий с высокой точностью (до нескольких сантиметров)[4] 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  <w:lang w:val="ru-RU"/>
        </w:rPr>
        <w:t>Бортовой компьютер рассчитывает оптимальную траекторию с помощью алгоритмов поиска пути (например, A*) и систем управления движением, а нейросети распознают пешеходов, светофоры, животных и потенциальные угрозы. При возникновении сложных или нештатных ситуаций (например, вандализме или сильном застревании в снегу) в дело вступает центр дистанционного управления и команда инженеров. [5]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  <w:lang w:val="ru-RU"/>
        </w:rPr>
        <w:t xml:space="preserve">Наличие собственных систем управления, крупного штата и собственных разработок составляют основу для последующего масштабирования роботизированной доставки. На данный момент </w:t>
      </w:r>
      <w:r>
        <w:rPr>
          <w:rFonts w:ascii="Times New Roman" w:hAnsi="Times New Roman"/>
          <w:sz w:val="26"/>
          <w:szCs w:val="26"/>
        </w:rPr>
        <w:t>Сервис расширяется в городах-миллионниках и регионах (включая Подмосковье, Казань, Нижний Новгород, Воронеж, Тюмень и др.)</w:t>
      </w:r>
    </w:p>
    <w:p>
      <w:pPr>
        <w:pStyle w:val="Normal"/>
        <w:jc w:val="both"/>
        <w:rPr/>
      </w:pP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Ключевую роль в роботизирванной доставке играет </w:t>
      </w:r>
      <w:r>
        <w:rPr>
          <w:rStyle w:val="Strong"/>
          <w:rFonts w:ascii="Times New Roman" w:hAnsi="Times New Roman"/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«Яндекс Роботикс» (Yandex Robotics)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— </w:t>
      </w:r>
      <w:r>
        <w:rPr>
          <w:rStyle w:val="Strong"/>
          <w:rFonts w:ascii="Times New Roman" w:hAnsi="Times New Roman"/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разработке, производстве и внедрении робототехнических систем [6]. 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Одним из ярких примеров масштабного внедрения технологий Яндекс Роботикс стал проект с </w:t>
      </w:r>
      <w:r>
        <w:rPr>
          <w:rStyle w:val="Strong"/>
          <w:rFonts w:ascii="Times New Roman" w:hAnsi="Times New Roman"/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«Перекрёстком» (Х5 Group)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, реализованный в сентябре 2025 года, в итоге которого яндекс интегрировал доставку роверами в торговые сети </w:t>
      </w:r>
      <w:r>
        <w:rPr>
          <w:rStyle w:val="Strong"/>
          <w:rFonts w:ascii="Times New Roman" w:hAnsi="Times New Roman"/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«Пятёрочка»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и </w:t>
      </w:r>
      <w:r>
        <w:rPr>
          <w:rStyle w:val="Strong"/>
          <w:rFonts w:ascii="Times New Roman" w:hAnsi="Times New Roman"/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«Перекрёсток».</w:t>
      </w:r>
    </w:p>
    <w:p>
      <w:pPr>
        <w:pStyle w:val="Normal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Этот результат подтверждает практическую реализуемость повсеместного масштабирования автоматизированной доставки на различные территориальные учатки и на новых партнеров.</w:t>
      </w:r>
    </w:p>
    <w:p>
      <w:pPr>
        <w:pStyle w:val="Heading2"/>
        <w:jc w:val="both"/>
        <w:rPr>
          <w:lang w:val="ru-RU"/>
        </w:rPr>
      </w:pPr>
      <w:r>
        <w:rPr>
          <w:lang w:val="ru-RU"/>
        </w:rPr>
        <w:t>1.3. Характеристика проблемной ситуации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>Условие кейса предполагает необходимость оценить корректность текущих бизнес-процессов в сфере автономной доставки, в частности бизнес-процессов в сфере масштабирования на новые территории и новых партнеров. Далее объяснить, какие изменения необходимы в бизнес-процессах, организационном взаимодействии и информационной инфраструктуре, какие результаты могут быть достигнуты и за счёт каких механизмов. А в дальшейшем составить обоснованную модель развития деятельности автономной доставки. В отличии от задачи внедрения новой технологии с нуля, здесь ключевое затруднение связано с выбором правильного масштаба, приоритетов и технологического механизма распространения уже используемых решений.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>При масштабирвоании автономной доставки на новую территорию и новых партнеров стоит учитывать качество пешеходных дорог, сезонность и погоду, плотность пешеходного трафика и криптографию. Кроме того, нужно учитывать наличие и состояние сервисных хабов, зарядку и замену АКБ и износ компонентов. Необходимо понимать процесс загрузки заказа, который должен быть бесшовным для персонала. Данные сведенья уже предоставляются внутренними источниками яндекса.</w:t>
      </w:r>
    </w:p>
    <w:p>
      <w:pPr>
        <w:pStyle w:val="Heading2"/>
        <w:jc w:val="both"/>
        <w:rPr>
          <w:lang w:val="ru-RU"/>
        </w:rPr>
      </w:pPr>
      <w:r>
        <w:rPr>
          <w:lang w:val="ru-RU"/>
        </w:rPr>
        <w:t>1.4. Границы исследования и необходимые исходные данные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В границы анализа включены процессы загрузки, непосредственной доставки, обслуживания и обработки инцидентов. А так же процесс масштабирования на новых партнеров и </w:t>
      </w:r>
      <w:r>
        <w:rPr>
          <w:rFonts w:ascii="Times New Roman" w:hAnsi="Times New Roman"/>
          <w:sz w:val="26"/>
          <w:szCs w:val="26"/>
          <w:lang w:val="ru-RU"/>
        </w:rPr>
        <w:t xml:space="preserve">на </w:t>
      </w:r>
      <w:r>
        <w:rPr>
          <w:rFonts w:ascii="Times New Roman" w:hAnsi="Times New Roman"/>
          <w:sz w:val="26"/>
          <w:szCs w:val="26"/>
          <w:lang w:val="ru-RU"/>
        </w:rPr>
        <w:t>новые территории.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ru-RU"/>
        </w:rPr>
        <w:t>Вне непосредвенного исследования остаются розничное ценообразование, маркетинг и клиентские мобиильные приложения.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ru-RU"/>
        </w:rPr>
        <w:t>Для перехода от качественного исследования к техническому решению потребуются выгрузки событий автономной доставки за репрезентативный период, данные об инцидентах, планы на масштабирование, требования к бизнес процесам и сведенья о затратах на операции. Полученные показатели должны охватывать обычную и пиковую нагрузку, чтобы предлагаемые решения не оказались эффективными только в среднем режиме эксплуатации.</w:t>
      </w:r>
    </w:p>
    <w:p>
      <w:pPr>
        <w:pStyle w:val="Heading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  <w:lang w:val="ru-RU"/>
        </w:rPr>
        <w:t>Вопросы представителю организации</w:t>
      </w:r>
    </w:p>
    <w:p>
      <w:pPr>
        <w:pStyle w:val="Normal"/>
        <w:ind w:hanging="0" w:start="22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  <w:lang w:val="ru-RU"/>
        </w:rPr>
        <w:t>1</w:t>
      </w:r>
      <w:r>
        <w:rPr>
          <w:rFonts w:ascii="Times New Roman" w:hAnsi="Times New Roman"/>
          <w:b/>
          <w:sz w:val="26"/>
          <w:szCs w:val="26"/>
          <w:lang w:val="ru-RU"/>
        </w:rPr>
        <w:t>.</w:t>
      </w:r>
      <w:r>
        <w:rPr>
          <w:rFonts w:ascii="Times New Roman" w:hAnsi="Times New Roman"/>
          <w:b w:val="false"/>
          <w:bCs w:val="false"/>
          <w:sz w:val="26"/>
          <w:szCs w:val="26"/>
          <w:lang w:val="ru-RU"/>
        </w:rPr>
        <w:t xml:space="preserve"> В кейсе указан желаемый план развия от различных слоев оргструктуры.</w:t>
      </w:r>
    </w:p>
    <w:p>
      <w:pPr>
        <w:pStyle w:val="Normal"/>
        <w:ind w:hanging="0" w:start="22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  <w:lang w:val="ru-RU"/>
        </w:rPr>
        <w:tab/>
        <w:t>Из них мы выделили:</w:t>
      </w:r>
    </w:p>
    <w:p>
      <w:pPr>
        <w:pStyle w:val="Normal"/>
        <w:ind w:hanging="0" w:start="22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  <w:lang w:val="ru-RU"/>
        </w:rPr>
        <w:tab/>
        <w:t>1. Сокращение человеко часов</w:t>
      </w:r>
    </w:p>
    <w:p>
      <w:pPr>
        <w:pStyle w:val="Normal"/>
        <w:ind w:hanging="0" w:start="22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  <w:lang w:val="ru-RU"/>
        </w:rPr>
        <w:tab/>
        <w:t>2. Увеличение заказов без увеличения персонала</w:t>
      </w:r>
    </w:p>
    <w:p>
      <w:pPr>
        <w:pStyle w:val="Normal"/>
        <w:ind w:hanging="0" w:start="22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  <w:lang w:val="ru-RU"/>
        </w:rPr>
        <w:tab/>
        <w:t>3. Облегчение дейтвующего прядка работы</w:t>
      </w:r>
    </w:p>
    <w:p>
      <w:pPr>
        <w:pStyle w:val="Normal"/>
        <w:ind w:hanging="0" w:start="22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  <w:lang w:val="ru-RU"/>
        </w:rPr>
        <w:tab/>
        <w:t>4. Предсказуемость доставки и опертивность получения информации</w:t>
      </w:r>
    </w:p>
    <w:p>
      <w:pPr>
        <w:pStyle w:val="Normal"/>
        <w:ind w:hanging="0" w:start="227"/>
        <w:jc w:val="both"/>
        <w:rPr>
          <w:rFonts w:ascii="Times New Roman" w:hAnsi="Times New Roman"/>
          <w:b w:val="false"/>
          <w:bCs w:val="false"/>
          <w:sz w:val="26"/>
          <w:szCs w:val="26"/>
          <w:lang w:val="ru-RU"/>
        </w:rPr>
      </w:pPr>
      <w:r>
        <w:rPr>
          <w:rFonts w:ascii="Times New Roman" w:hAnsi="Times New Roman"/>
          <w:b w:val="false"/>
          <w:bCs w:val="false"/>
          <w:sz w:val="26"/>
          <w:szCs w:val="26"/>
          <w:lang w:val="ru-RU"/>
        </w:rPr>
      </w:r>
    </w:p>
    <w:p>
      <w:pPr>
        <w:pStyle w:val="Normal"/>
        <w:ind w:hanging="0" w:start="22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  <w:lang w:val="ru-RU"/>
        </w:rPr>
        <w:tab/>
        <w:t xml:space="preserve">Что из этого по вашему мнению, является более приеоритетным для </w:t>
        <w:tab/>
        <w:t>решения кейса?</w:t>
      </w:r>
    </w:p>
    <w:p>
      <w:pPr>
        <w:pStyle w:val="Normal"/>
        <w:ind w:hanging="0" w:start="22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  <w:lang w:val="ru-RU"/>
        </w:rPr>
        <w:t>2. По каким критериям по вашему мнению лучше всего обосновывать модель развития масштабирования на новые территории и новых партнеров?</w:t>
      </w:r>
    </w:p>
    <w:p>
      <w:pPr>
        <w:pStyle w:val="Normal"/>
        <w:ind w:hanging="0" w:start="22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  <w:lang w:val="ru-RU"/>
        </w:rPr>
        <w:t>3.  Выделите наиболее значимые условия реализации проектирования?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ru-RU"/>
        </w:rPr>
        <w:t>Ответы на эти вопросы нужны для окончательного определения интересов компании и границ пилота и выбора целевого процесса.</w:t>
      </w:r>
      <w:r>
        <w:br w:type="page"/>
      </w:r>
    </w:p>
    <w:p>
      <w:pPr>
        <w:pStyle w:val="Heading1"/>
        <w:spacing w:before="0" w:after="160"/>
        <w:jc w:val="both"/>
        <w:rPr>
          <w:lang w:val="ru-RU"/>
        </w:rPr>
      </w:pPr>
      <w:r>
        <w:rPr>
          <w:lang w:val="ru-RU"/>
        </w:rPr>
        <w:t xml:space="preserve">2. </w:t>
      </w:r>
      <w:r>
        <w:rPr/>
        <w:t>PEST</w:t>
      </w:r>
      <w:r>
        <w:rPr>
          <w:lang w:val="ru-RU"/>
        </w:rPr>
        <w:t>-АНАЛИЗ ВНЕШНЕЙ СРЕДЫ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PEST</w:t>
      </w:r>
      <w:r>
        <w:rPr>
          <w:sz w:val="26"/>
          <w:szCs w:val="26"/>
          <w:lang w:val="ru-RU"/>
        </w:rPr>
        <w:t>-анализ позволяет выявить факторы макросреды, способные изменить экономические, правовые, социальные и технологические условия масштабирования автономной доставки. Объектом анализа выступает внешняя среда компании применительно к выбранной стратегической задаче. Представленные ниже факторы включают как подтверждённые нормативные условия, так и тенденции, значимость которых для конкретных площадок должна быть дополнительно проверена.</w:t>
      </w:r>
    </w:p>
    <w:tbl>
      <w:tblPr>
        <w:tblStyle w:val="aff0"/>
        <w:tblW w:w="9354" w:type="dxa"/>
        <w:jc w:val="center"/>
        <w:tblInd w:w="0" w:type="dxa"/>
        <w:tblLayout w:type="fixed"/>
        <w:tblCellMar>
          <w:top w:w="155" w:type="dxa"/>
          <w:start w:w="160" w:type="dxa"/>
          <w:bottom w:w="155" w:type="dxa"/>
          <w:end w:w="160" w:type="dxa"/>
        </w:tblCellMar>
        <w:tblLook w:noHBand="0" w:noVBand="1" w:firstColumn="1" w:lastRow="0" w:lastColumn="0" w:firstRow="1" w:val="04a0"/>
      </w:tblPr>
      <w:tblGrid>
        <w:gridCol w:w="4677"/>
        <w:gridCol w:w="4677"/>
      </w:tblGrid>
      <w:tr>
        <w:trPr>
          <w:cantSplit/>
        </w:trPr>
        <w:tc>
          <w:tcPr>
            <w:tcW w:w="4677" w:type="dxa"/>
            <w:tcBorders/>
            <w:shd w:color="auto" w:fill="EAF2F3" w:val="clear"/>
          </w:tcPr>
          <w:p>
            <w:pPr>
              <w:pStyle w:val="Tabletext"/>
              <w:widowControl/>
              <w:suppressAutoHyphens w:val="true"/>
              <w:spacing w:before="0" w:after="0"/>
              <w:jc w:val="both"/>
              <w:rPr>
                <w:lang w:val="ru-RU"/>
              </w:rPr>
            </w:pPr>
            <w:r>
              <w:rPr>
                <w:rFonts w:eastAsia="ＭＳ 明朝" w:cs=""/>
                <w:b/>
                <w:color w:val="163044"/>
                <w:kern w:val="0"/>
                <w:sz w:val="23"/>
                <w:szCs w:val="22"/>
                <w:lang w:val="en-US" w:eastAsia="en-US" w:bidi="ar-SA"/>
              </w:rPr>
              <w:t>P</w:t>
            </w:r>
            <w:r>
              <w:rPr>
                <w:rFonts w:eastAsia="ＭＳ 明朝" w:cs=""/>
                <w:b/>
                <w:color w:val="163044"/>
                <w:kern w:val="0"/>
                <w:sz w:val="23"/>
                <w:szCs w:val="22"/>
                <w:lang w:val="ru-RU" w:eastAsia="en-US" w:bidi="ar-SA"/>
              </w:rPr>
              <w:t xml:space="preserve"> — Политико-правовые факторы</w:t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en-US" w:eastAsia="en-US" w:bidi="ar-SA"/>
              </w:rPr>
              <w:t>P</w:t>
            </w: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1. </w:t>
            </w:r>
            <w:r>
              <w:rPr>
                <w:b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  <w:lang w:val="ru-RU"/>
              </w:rPr>
              <w:t>Правительство РФ активно поддерживает ИИ и сквозные технологии. Логистические роботы рассматриваются как важная часть цифровизации городской среды («Умный город») и способ снижения дефицита кадров в логистике. [7]</w:t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en-US" w:eastAsia="en-US" w:bidi="ar-SA"/>
              </w:rPr>
              <w:t>P</w:t>
            </w: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2. </w:t>
            </w:r>
            <w:r>
              <w:rPr>
                <w:color w:val="000000"/>
                <w:sz w:val="24"/>
                <w:szCs w:val="24"/>
              </w:rPr>
              <w:t>Государство стимулирует использование отечественных компонентов (например, ИИ-чипов и архитектур). Компании, использующие реестровое российское оборудование с ИИ-компонентами, получают преференции, включая налоговые коэффициенты (снижение налога на прибыль) [8]</w:t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en-US" w:eastAsia="en-US" w:bidi="ar-SA"/>
              </w:rPr>
              <w:t>P</w:t>
            </w: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3. </w:t>
            </w:r>
            <w:r>
              <w:rPr>
                <w:color w:val="000000"/>
                <w:sz w:val="24"/>
                <w:szCs w:val="24"/>
              </w:rPr>
              <w:t xml:space="preserve">Крупные экосистемы («Яндекс», «Сбер», «Дронсхаб») выступают консолидированным лоббистом. Совместная работа с Минэкономразвития, МВД, Минтрансом и ФСО позволила крупному бизнесу напрямую участвовать в формировании </w:t>
            </w:r>
            <w:r>
              <w:rPr>
                <w:sz w:val="24"/>
                <w:szCs w:val="24"/>
              </w:rPr>
              <w:t>законодательного контура. [9]</w:t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677" w:type="dxa"/>
            <w:tcBorders/>
            <w:shd w:color="auto" w:fill="EAF2F3" w:val="clear"/>
          </w:tcPr>
          <w:p>
            <w:pPr>
              <w:pStyle w:val="Tabletext"/>
              <w:widowControl/>
              <w:suppressAutoHyphens w:val="true"/>
              <w:spacing w:before="0" w:after="0"/>
              <w:jc w:val="both"/>
              <w:rPr>
                <w:lang w:val="ru-RU"/>
              </w:rPr>
            </w:pPr>
            <w:r>
              <w:rPr>
                <w:rFonts w:eastAsia="ＭＳ 明朝" w:cs=""/>
                <w:b/>
                <w:color w:val="163044"/>
                <w:kern w:val="0"/>
                <w:sz w:val="23"/>
                <w:szCs w:val="22"/>
                <w:lang w:val="en-US" w:eastAsia="en-US" w:bidi="ar-SA"/>
              </w:rPr>
              <w:t>E</w:t>
            </w:r>
            <w:r>
              <w:rPr>
                <w:rFonts w:eastAsia="ＭＳ 明朝" w:cs=""/>
                <w:b/>
                <w:color w:val="163044"/>
                <w:kern w:val="0"/>
                <w:sz w:val="23"/>
                <w:szCs w:val="22"/>
                <w:lang w:val="ru-RU" w:eastAsia="en-US" w:bidi="ar-SA"/>
              </w:rPr>
              <w:t xml:space="preserve"> — Экономические факторы</w:t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>
                <w:lang w:val="en-US"/>
              </w:rPr>
            </w:pP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en-US" w:eastAsia="en-US" w:bidi="ar-SA"/>
              </w:rPr>
              <w:t>E</w:t>
            </w: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1. </w:t>
            </w:r>
            <w:r>
              <w:rPr>
                <w:rStyle w:val="Strong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  <w:lang w:val="ru-RU"/>
              </w:rPr>
              <w:t>Затраты на содержание ровера:</w:t>
            </w:r>
            <w:r>
              <w:rPr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  <w:lang w:val="ru-RU"/>
              </w:rPr>
              <w:t xml:space="preserve"> Составляют около </w:t>
            </w:r>
            <w:r>
              <w:rPr>
                <w:rStyle w:val="Strong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  <w:lang w:val="ru-RU"/>
              </w:rPr>
              <w:t>295 000 рублей</w:t>
            </w:r>
            <w:r>
              <w:rPr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  <w:lang w:val="ru-RU"/>
              </w:rPr>
              <w:t xml:space="preserve"> в год на один аппарат.</w:t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>
                <w:lang w:val="en-US"/>
              </w:rPr>
            </w:pPr>
            <w:r>
              <w:rPr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  <w:lang w:val="ru-RU"/>
              </w:rPr>
              <w:t xml:space="preserve">Годовая зарплата пешего курьера в Москве и Санкт-Петербурге достигает </w:t>
            </w:r>
            <w:r>
              <w:rPr>
                <w:rStyle w:val="Strong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  <w:lang w:val="ru-RU"/>
              </w:rPr>
              <w:t>878 000 рублей</w:t>
            </w:r>
            <w:r>
              <w:rPr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  <w:lang w:val="ru-RU"/>
              </w:rPr>
              <w:t>. [10]</w:t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>
                <w:rFonts w:ascii="Times New Roman" w:hAnsi="Times New Roman" w:eastAsia="ＭＳ 明朝" w:cs="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/>
            </w:pP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en-US" w:eastAsia="en-US" w:bidi="ar-SA"/>
              </w:rPr>
              <w:t>E</w:t>
            </w: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2. </w:t>
            </w:r>
            <w:r>
              <w:rPr>
                <w:b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</w:rPr>
              <w:t>Экономика модели напрямую зависит от качества тротуаров и очистки улиц зимой, а также стабильности сотовой связи и точности картографии.</w:t>
            </w:r>
            <w:r>
              <w:rPr>
                <w:color w:val="000000"/>
                <w:sz w:val="24"/>
                <w:szCs w:val="24"/>
              </w:rPr>
              <w:t xml:space="preserve"> [</w:t>
            </w:r>
            <w:hyperlink r:id="rId2">
              <w:r>
                <w:rPr>
                  <w:rStyle w:val="Hyperlink"/>
                  <w:color w:val="000000"/>
                  <w:sz w:val="24"/>
                  <w:szCs w:val="24"/>
                </w:rPr>
                <w:t>1</w:t>
              </w:r>
            </w:hyperlink>
            <w:r>
              <w:rPr>
                <w:color w:val="000000"/>
                <w:sz w:val="24"/>
                <w:szCs w:val="24"/>
              </w:rPr>
              <w:t>1]</w:t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en-US" w:eastAsia="en-US" w:bidi="ar-SA"/>
              </w:rPr>
              <w:t>E</w:t>
            </w: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3. </w:t>
            </w:r>
            <w:r>
              <w:rPr>
                <w:color w:val="000000"/>
                <w:sz w:val="24"/>
                <w:szCs w:val="24"/>
              </w:rPr>
              <w:t>Себестоимость доставки снижается по мере роста размера парка и удешевления производства самих комплектующих. [12]</w:t>
            </w:r>
          </w:p>
        </w:tc>
      </w:tr>
      <w:tr>
        <w:trPr>
          <w:cantSplit/>
        </w:trPr>
        <w:tc>
          <w:tcPr>
            <w:tcW w:w="4677" w:type="dxa"/>
            <w:tcBorders/>
            <w:shd w:color="auto" w:fill="F4F6F7" w:val="clear"/>
          </w:tcPr>
          <w:p>
            <w:pPr>
              <w:pStyle w:val="Tabletext"/>
              <w:widowControl/>
              <w:suppressAutoHyphens w:val="true"/>
              <w:spacing w:before="0" w:after="0"/>
              <w:jc w:val="both"/>
              <w:rPr>
                <w:lang w:val="ru-RU"/>
              </w:rPr>
            </w:pPr>
            <w:r>
              <w:rPr>
                <w:rFonts w:eastAsia="ＭＳ 明朝" w:cs=""/>
                <w:b/>
                <w:color w:val="163044"/>
                <w:kern w:val="0"/>
                <w:sz w:val="23"/>
                <w:szCs w:val="22"/>
                <w:lang w:val="en-US" w:eastAsia="en-US" w:bidi="ar-SA"/>
              </w:rPr>
              <w:t>S</w:t>
            </w:r>
            <w:r>
              <w:rPr>
                <w:rFonts w:eastAsia="ＭＳ 明朝" w:cs=""/>
                <w:b/>
                <w:color w:val="163044"/>
                <w:kern w:val="0"/>
                <w:sz w:val="23"/>
                <w:szCs w:val="22"/>
                <w:lang w:val="ru-RU" w:eastAsia="en-US" w:bidi="ar-SA"/>
              </w:rPr>
              <w:t xml:space="preserve"> — Социальные факторы</w:t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en-US" w:eastAsia="en-US" w:bidi="ar-SA"/>
              </w:rPr>
              <w:t>S</w:t>
            </w: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1. </w:t>
            </w:r>
            <w:r>
              <w:rPr>
                <w:b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  <w:lang w:val="ru-RU"/>
              </w:rPr>
              <w:t>Возникает потребность в специалистах по техническому обслуживанию, операторах удаленного мониторинга и инженерах по сопровождению беспилотных систем.</w:t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en-US" w:eastAsia="en-US" w:bidi="ar-SA"/>
              </w:rPr>
              <w:t>S</w:t>
            </w: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2.  </w:t>
            </w:r>
            <w:r>
              <w:rPr>
                <w:b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  <w:lang w:val="ru-RU"/>
              </w:rPr>
              <w:t>На начальных этапах существовал риск агрессии или кражи груза со стороны маргинальных групп, однако развитая система камер, GPS-трекинг и сигнализация сводят такие случаи к минимуму.</w:t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>
                <w:rFonts w:ascii="Times New Roman" w:hAnsi="Times New Roman" w:eastAsia="ＭＳ 明朝" w:cs="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en-US" w:eastAsia="en-US" w:bidi="ar-SA"/>
              </w:rPr>
              <w:t>S</w:t>
            </w: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3.  </w:t>
            </w:r>
            <w:r>
              <w:rPr>
                <w:b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  <w:lang w:val="ru-RU"/>
              </w:rPr>
              <w:t>Дизайн Яндекс Роверов вызывает у большинства людей позитивные эмоции. Прохожие часто воспринимают их как технологичных «питомцев», фотографируют и помогают им, если робот застрял в сугробе.</w:t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677" w:type="dxa"/>
            <w:tcBorders/>
            <w:shd w:color="auto" w:fill="F4F6F7" w:val="clear"/>
          </w:tcPr>
          <w:p>
            <w:pPr>
              <w:pStyle w:val="Tabletext"/>
              <w:widowControl/>
              <w:suppressAutoHyphens w:val="true"/>
              <w:spacing w:before="0" w:after="0"/>
              <w:jc w:val="both"/>
              <w:rPr>
                <w:lang w:val="ru-RU"/>
              </w:rPr>
            </w:pPr>
            <w:r>
              <w:rPr>
                <w:rFonts w:eastAsia="ＭＳ 明朝" w:cs=""/>
                <w:b/>
                <w:color w:val="163044"/>
                <w:kern w:val="0"/>
                <w:sz w:val="23"/>
                <w:szCs w:val="22"/>
                <w:lang w:val="en-US" w:eastAsia="en-US" w:bidi="ar-SA"/>
              </w:rPr>
              <w:t>T</w:t>
            </w:r>
            <w:r>
              <w:rPr>
                <w:rFonts w:eastAsia="ＭＳ 明朝" w:cs=""/>
                <w:b/>
                <w:color w:val="163044"/>
                <w:kern w:val="0"/>
                <w:sz w:val="23"/>
                <w:szCs w:val="22"/>
                <w:lang w:val="ru-RU" w:eastAsia="en-US" w:bidi="ar-SA"/>
              </w:rPr>
              <w:t xml:space="preserve"> — Технологические факторы</w:t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/>
            </w:pPr>
            <w:r>
              <w:rPr>
                <w:rFonts w:eastAsia="ＭＳ 明朝" w:cs=""/>
                <w:b w:val="false"/>
                <w:bCs w:val="false"/>
                <w:color w:val="1A5B64"/>
                <w:kern w:val="0"/>
                <w:sz w:val="24"/>
                <w:szCs w:val="24"/>
                <w:lang w:val="en-US" w:eastAsia="en-US" w:bidi="ar-SA"/>
              </w:rPr>
              <w:t>T</w:t>
            </w:r>
            <w:r>
              <w:rPr>
                <w:rFonts w:eastAsia="ＭＳ 明朝" w:cs=""/>
                <w:b w:val="false"/>
                <w:bCs w:val="false"/>
                <w:color w:val="1A5B64"/>
                <w:kern w:val="0"/>
                <w:sz w:val="24"/>
                <w:szCs w:val="24"/>
                <w:lang w:val="ru-RU" w:eastAsia="en-US" w:bidi="ar-SA"/>
              </w:rPr>
              <w:t xml:space="preserve">1. </w:t>
            </w:r>
            <w:r>
              <w:rPr>
                <w:rStyle w:val="Strong"/>
                <w:b w:val="false"/>
                <w:bCs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GPS и GNSS</w:t>
            </w:r>
            <w:r>
              <w:rPr>
                <w:b w:val="false"/>
                <w:bCs w:val="false"/>
                <w:sz w:val="24"/>
                <w:szCs w:val="24"/>
              </w:rPr>
              <w:t xml:space="preserve"> Обеспечивают глобальное определение координат на местности</w:t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/>
            </w:pPr>
            <w:r>
              <w:rPr>
                <w:rFonts w:eastAsia="ＭＳ 明朝" w:cs=""/>
                <w:b w:val="false"/>
                <w:bCs w:val="false"/>
                <w:color w:val="1A5B64"/>
                <w:kern w:val="0"/>
                <w:sz w:val="24"/>
                <w:szCs w:val="24"/>
                <w:lang w:val="en-US" w:eastAsia="en-US" w:bidi="ar-SA"/>
              </w:rPr>
              <w:t>T</w:t>
            </w:r>
            <w:r>
              <w:rPr>
                <w:rFonts w:eastAsia="ＭＳ 明朝" w:cs=""/>
                <w:b w:val="false"/>
                <w:bCs w:val="false"/>
                <w:color w:val="1A5B64"/>
                <w:kern w:val="0"/>
                <w:sz w:val="24"/>
                <w:szCs w:val="24"/>
                <w:lang w:val="ru-RU" w:eastAsia="en-US" w:bidi="ar-SA"/>
              </w:rPr>
              <w:t xml:space="preserve">2.  </w:t>
            </w:r>
            <w:r>
              <w:rPr>
                <w:rStyle w:val="Strong"/>
                <w:b w:val="false"/>
                <w:bCs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Интернет вещей (IoT)</w:t>
            </w:r>
            <w:r>
              <w:rPr>
                <w:b w:val="false"/>
                <w:bCs w:val="false"/>
                <w:sz w:val="24"/>
                <w:szCs w:val="24"/>
              </w:rPr>
              <w:t xml:space="preserve"> связывает транспортные средства, светофоры, склады и клиентские приложения в единую экосистему [13]</w:t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ＭＳ 明朝" w:cs=""/>
                <w:b w:val="false"/>
                <w:bCs w:val="false"/>
                <w:color w:val="1A5B64"/>
                <w:kern w:val="0"/>
                <w:sz w:val="24"/>
                <w:szCs w:val="24"/>
                <w:lang w:val="en-US" w:eastAsia="en-US" w:bidi="ar-SA"/>
              </w:rPr>
              <w:t>T</w:t>
            </w:r>
            <w:r>
              <w:rPr>
                <w:rFonts w:eastAsia="ＭＳ 明朝" w:cs=""/>
                <w:b w:val="false"/>
                <w:bCs w:val="false"/>
                <w:color w:val="1A5B64"/>
                <w:kern w:val="0"/>
                <w:sz w:val="24"/>
                <w:szCs w:val="24"/>
                <w:lang w:val="ru-RU" w:eastAsia="en-US" w:bidi="ar-SA"/>
              </w:rPr>
              <w:t xml:space="preserve">3. </w:t>
            </w:r>
            <w:r>
              <w:rPr>
                <w:b w:val="false"/>
                <w:bCs w:val="false"/>
                <w:sz w:val="24"/>
                <w:szCs w:val="24"/>
              </w:rPr>
              <w:t>Экологичные и тихие двигатели с аккумуляторными батареями, способными обеспечивать автономную работу и автоматическую подзарядку на док-станциях [14]</w:t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>
                <w:rFonts w:ascii="Times New Roman" w:hAnsi="Times New Roman" w:eastAsia="ＭＳ 明朝" w:cs=""/>
                <w:b w:val="false"/>
                <w:bCs w:val="false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/>
                <w:b w:val="false"/>
                <w:bCs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</w:tbl>
    <w:p>
      <w:pPr>
        <w:pStyle w:val="Normal"/>
        <w:spacing w:before="0" w:after="0"/>
        <w:jc w:val="both"/>
        <w:rPr>
          <w:lang w:val="ru-RU"/>
        </w:rPr>
      </w:pPr>
      <w:r>
        <w:rPr>
          <w:lang w:val="ru-RU"/>
        </w:rPr>
      </w:r>
    </w:p>
    <w:p>
      <w:pPr>
        <w:pStyle w:val="Heading2"/>
        <w:jc w:val="both"/>
        <w:rPr>
          <w:lang w:val="ru-RU"/>
        </w:rPr>
      </w:pPr>
      <w:r>
        <w:rPr>
          <w:lang w:val="ru-RU"/>
        </w:rPr>
        <w:t xml:space="preserve">2.1. Выводы по </w:t>
      </w:r>
      <w:r>
        <w:rPr/>
        <w:t>PEST</w:t>
      </w:r>
      <w:r>
        <w:rPr>
          <w:lang w:val="ru-RU"/>
        </w:rPr>
        <w:t>-анализу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ru-RU"/>
        </w:rPr>
        <w:t>Проведённый анализ показывает, что развитие автономной доставки происходит под воздействием двух противоположных групп факторов. С одной стороны, развитие автономных технологий, государственной повестки технологического развития и цифровых средств управления расширяет технические возможности яндекс и ведет к экономии сферы доставки. С другой стороны, кадровые ограничения, зависимость от состояния улиц способны существенно уменьшить фактический экономический эффект.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ru-RU"/>
        </w:rPr>
        <w:t>В политико-правовой сфере наибольшее значение имеет государственная поддержка от использования отечественных решений и иновационных технологий.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ru-RU"/>
        </w:rPr>
        <w:t>В экономической сфере критическим фактором становится экономическая целесообразность использования роверов и обеспечение автономной доставки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Социальные и технологические факторы взаимосвязаны. автономия может сокращать трудоёмкость отдельных процессов, одновременно увеличивая спрос на операторов, специалистов по информационным системам и обслуживанию роботов. Поэтому эффект для персонала должен выражаться не только через сокращение ручных действий, но и через изменение функциональных ролей, требования к компетенциям и устойчивость работы </w:t>
      </w:r>
      <w:r>
        <w:rPr>
          <w:rFonts w:ascii="Times New Roman" w:hAnsi="Times New Roman"/>
          <w:sz w:val="26"/>
          <w:szCs w:val="26"/>
          <w:lang w:val="ru-RU"/>
        </w:rPr>
        <w:t>системы доставки</w:t>
      </w:r>
      <w:r>
        <w:rPr>
          <w:rFonts w:ascii="Times New Roman" w:hAnsi="Times New Roman"/>
          <w:sz w:val="26"/>
          <w:szCs w:val="26"/>
          <w:lang w:val="ru-RU"/>
        </w:rPr>
        <w:t>.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Таким образом, </w:t>
      </w:r>
      <w:r>
        <w:rPr>
          <w:rFonts w:ascii="Times New Roman" w:hAnsi="Times New Roman"/>
          <w:sz w:val="26"/>
          <w:szCs w:val="26"/>
        </w:rPr>
        <w:t>PEST</w:t>
      </w:r>
      <w:r>
        <w:rPr>
          <w:rFonts w:ascii="Times New Roman" w:hAnsi="Times New Roman"/>
          <w:sz w:val="26"/>
          <w:szCs w:val="26"/>
          <w:lang w:val="ru-RU"/>
        </w:rPr>
        <w:t>-анализ подтверждает необходимость поэтапного масштабирования автономной доставки с обязательной технико-экономической проверкой. Приоритет должен определяться совокупным влиянием внешних условий на эффективность и экономичность автономной доставки.</w:t>
      </w:r>
    </w:p>
    <w:p>
      <w:pPr>
        <w:pStyle w:val="Heading1"/>
        <w:jc w:val="both"/>
        <w:rPr>
          <w:lang w:val="ru-RU"/>
        </w:rPr>
      </w:pPr>
      <w:r>
        <w:rPr>
          <w:lang w:val="ru-RU"/>
        </w:rPr>
        <w:t xml:space="preserve">3. </w:t>
      </w:r>
      <w:r>
        <w:rPr/>
        <w:t>SWOT</w:t>
      </w:r>
      <w:r>
        <w:rPr>
          <w:lang w:val="ru-RU"/>
        </w:rPr>
        <w:t>-АНАЛИЗ ОРГАНИЗАЦИИ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SWOT</w:t>
      </w:r>
      <w:r>
        <w:rPr>
          <w:sz w:val="26"/>
          <w:szCs w:val="26"/>
          <w:lang w:val="ru-RU"/>
        </w:rPr>
        <w:t>-анализ выполнен применительно к способности яндекса масштабировать автономную доставку на новые территории и новых патн</w:t>
      </w:r>
      <w:r>
        <w:rPr>
          <w:sz w:val="26"/>
          <w:szCs w:val="26"/>
          <w:lang w:val="ru-RU"/>
        </w:rPr>
        <w:t>е</w:t>
      </w:r>
      <w:r>
        <w:rPr>
          <w:sz w:val="26"/>
          <w:szCs w:val="26"/>
          <w:lang w:val="ru-RU"/>
        </w:rPr>
        <w:t>ров. Внутренние сильные стороны основаны на публично подтверждённых ресурсах и результатах компании.</w:t>
      </w:r>
    </w:p>
    <w:tbl>
      <w:tblPr>
        <w:tblStyle w:val="aff0"/>
        <w:tblW w:w="9354" w:type="dxa"/>
        <w:jc w:val="center"/>
        <w:tblInd w:w="0" w:type="dxa"/>
        <w:tblLayout w:type="fixed"/>
        <w:tblCellMar>
          <w:top w:w="155" w:type="dxa"/>
          <w:start w:w="160" w:type="dxa"/>
          <w:bottom w:w="155" w:type="dxa"/>
          <w:end w:w="160" w:type="dxa"/>
        </w:tblCellMar>
        <w:tblLook w:noHBand="0" w:noVBand="1" w:firstColumn="1" w:lastRow="0" w:lastColumn="0" w:firstRow="1" w:val="04a0"/>
      </w:tblPr>
      <w:tblGrid>
        <w:gridCol w:w="4677"/>
        <w:gridCol w:w="4677"/>
      </w:tblGrid>
      <w:tr>
        <w:trPr>
          <w:cantSplit/>
        </w:trPr>
        <w:tc>
          <w:tcPr>
            <w:tcW w:w="4677" w:type="dxa"/>
            <w:tcBorders/>
            <w:shd w:color="auto" w:fill="EAF2F3" w:val="clear"/>
          </w:tcPr>
          <w:p>
            <w:pPr>
              <w:pStyle w:val="Tabletext"/>
              <w:widowControl/>
              <w:suppressAutoHyphens w:val="true"/>
              <w:spacing w:before="0" w:after="0"/>
              <w:jc w:val="both"/>
              <w:rPr>
                <w:lang w:val="ru-RU"/>
              </w:rPr>
            </w:pPr>
            <w:r>
              <w:rPr>
                <w:rFonts w:eastAsia="ＭＳ 明朝" w:cs=""/>
                <w:b/>
                <w:color w:val="163044"/>
                <w:kern w:val="0"/>
                <w:sz w:val="23"/>
                <w:szCs w:val="22"/>
                <w:lang w:val="en-US" w:eastAsia="en-US" w:bidi="ar-SA"/>
              </w:rPr>
              <w:t>S</w:t>
            </w:r>
            <w:r>
              <w:rPr>
                <w:rFonts w:eastAsia="ＭＳ 明朝" w:cs=""/>
                <w:b/>
                <w:color w:val="163044"/>
                <w:kern w:val="0"/>
                <w:sz w:val="23"/>
                <w:szCs w:val="22"/>
                <w:lang w:val="ru-RU" w:eastAsia="en-US" w:bidi="ar-SA"/>
              </w:rPr>
              <w:t xml:space="preserve"> — Сильные стороны</w:t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en-US" w:eastAsia="en-US" w:bidi="ar-SA"/>
              </w:rPr>
              <w:t>S</w:t>
            </w: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1. </w:t>
            </w:r>
            <w:r>
              <w:rPr>
                <w:color w:val="000000"/>
                <w:sz w:val="24"/>
                <w:szCs w:val="24"/>
              </w:rPr>
              <w:t>Затраты на годовое содержание ровера Яндекса оказались на 49–66% ниже, чем расходы на оплату труда пеших курьеров в различных регионах, что делает роботов выгодной альтернативой в пиковые часы и на регулярных маршрутах [15]</w:t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>
                <w:rFonts w:eastAsia="ＭＳ 明朝" w:cs="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en-US" w:eastAsia="en-US" w:bidi="ar-SA"/>
              </w:rPr>
              <w:t>S</w:t>
            </w: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2. </w:t>
            </w:r>
            <w:r>
              <w:rPr>
                <w:rFonts w:eastAsia="ＭＳ 明朝" w:cs="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Роботы оснащены комплексом сенсоров (лидары, камеры, парктроники), полным приводом (6 ведущих колес) и способны работать в сложных городских условиях, преодолевая бордюры и двигаясь по тротуарам [16]</w:t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en-US" w:eastAsia="en-US" w:bidi="ar-SA"/>
              </w:rPr>
              <w:t>S</w:t>
            </w: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3. </w:t>
            </w:r>
            <w:r>
              <w:rPr>
                <w:color w:val="000000"/>
                <w:sz w:val="24"/>
                <w:szCs w:val="24"/>
              </w:rPr>
              <w:t>Техника рассчитана на работу в режиме 24/7 в разных погодных условиях, с продуманной системой управления и поддержкой удаленных операторов на сложных участках пути [17]</w:t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>
                <w:rFonts w:eastAsia="ＭＳ 明朝" w:cs="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/>
                <w:color w:val="000000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4677" w:type="dxa"/>
            <w:tcBorders/>
            <w:shd w:color="auto" w:fill="EAF2F3" w:val="clear"/>
          </w:tcPr>
          <w:p>
            <w:pPr>
              <w:pStyle w:val="Tabletext"/>
              <w:widowControl/>
              <w:suppressAutoHyphens w:val="true"/>
              <w:spacing w:before="0" w:after="0"/>
              <w:jc w:val="both"/>
              <w:rPr>
                <w:lang w:val="ru-RU"/>
              </w:rPr>
            </w:pPr>
            <w:r>
              <w:rPr>
                <w:rFonts w:eastAsia="ＭＳ 明朝" w:cs=""/>
                <w:b/>
                <w:color w:val="163044"/>
                <w:kern w:val="0"/>
                <w:sz w:val="23"/>
                <w:szCs w:val="22"/>
                <w:lang w:val="en-US" w:eastAsia="en-US" w:bidi="ar-SA"/>
              </w:rPr>
              <w:t>W</w:t>
            </w:r>
            <w:r>
              <w:rPr>
                <w:rFonts w:eastAsia="ＭＳ 明朝" w:cs=""/>
                <w:b/>
                <w:color w:val="163044"/>
                <w:kern w:val="0"/>
                <w:sz w:val="23"/>
                <w:szCs w:val="22"/>
                <w:lang w:val="ru-RU" w:eastAsia="en-US" w:bidi="ar-SA"/>
              </w:rPr>
              <w:t xml:space="preserve"> — Слабые стороны / проверяемые гипотезы</w:t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en-US" w:eastAsia="en-US" w:bidi="ar-SA"/>
              </w:rPr>
              <w:t>W</w:t>
            </w: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1. </w:t>
            </w:r>
            <w:r>
              <w:rPr>
                <w:color w:val="000000"/>
                <w:sz w:val="24"/>
                <w:szCs w:val="24"/>
              </w:rPr>
              <w:t>В условиях плотной исторической застройки, отсутствия четкой разметки, хаотичной парковки или ремонтных работ роботам по-прежнему тяжело принимать решения без помощи удаленного оператора.</w:t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en-US" w:eastAsia="en-US" w:bidi="ar-SA"/>
              </w:rPr>
              <w:t>W</w:t>
            </w: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2. </w:t>
            </w:r>
            <w:r>
              <w:rPr>
                <w:b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  <w:lang w:val="ru-RU"/>
              </w:rPr>
              <w:t>Роботы-доставщики не умеют самостоятельно открывать двери подъездов, пользоваться домофонами, подниматься на лифте и доходить до квартиры клиента. Пользователю приходится выходить на улицу, что снижает уровень комфорта по сравнению с курьером-человеком.</w:t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en-US" w:eastAsia="en-US" w:bidi="ar-SA"/>
              </w:rPr>
              <w:t>W</w:t>
            </w:r>
            <w:r>
              <w:rPr>
                <w:rFonts w:eastAsia="ＭＳ 明朝" w:cs="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3. </w:t>
            </w:r>
            <w:r>
              <w:rPr>
                <w:b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  <w:lang w:val="ru-RU"/>
              </w:rPr>
              <w:t>Ограничения на импорт высокотехнологичной микроэлектроники и оптических датчиков усложняют цепочки поставок и разработку новых поколений беспилотников.</w:t>
            </w:r>
          </w:p>
        </w:tc>
      </w:tr>
      <w:tr>
        <w:trPr>
          <w:cantSplit/>
        </w:trPr>
        <w:tc>
          <w:tcPr>
            <w:tcW w:w="4677" w:type="dxa"/>
            <w:tcBorders/>
            <w:shd w:color="auto" w:fill="F4F6F7" w:val="clear"/>
          </w:tcPr>
          <w:p>
            <w:pPr>
              <w:pStyle w:val="Tabletext"/>
              <w:widowControl/>
              <w:suppressAutoHyphens w:val="true"/>
              <w:spacing w:before="0" w:after="0"/>
              <w:jc w:val="both"/>
              <w:rPr>
                <w:lang w:val="ru-RU"/>
              </w:rPr>
            </w:pPr>
            <w:r>
              <w:rPr>
                <w:rFonts w:eastAsia="ＭＳ 明朝" w:cs=""/>
                <w:b/>
                <w:color w:val="163044"/>
                <w:kern w:val="0"/>
                <w:sz w:val="23"/>
                <w:szCs w:val="22"/>
                <w:lang w:val="en-US" w:eastAsia="en-US" w:bidi="ar-SA"/>
              </w:rPr>
              <w:t>O</w:t>
            </w:r>
            <w:r>
              <w:rPr>
                <w:rFonts w:eastAsia="ＭＳ 明朝" w:cs=""/>
                <w:b/>
                <w:color w:val="163044"/>
                <w:kern w:val="0"/>
                <w:sz w:val="23"/>
                <w:szCs w:val="22"/>
                <w:lang w:val="ru-RU" w:eastAsia="en-US" w:bidi="ar-SA"/>
              </w:rPr>
              <w:t xml:space="preserve"> — Внешние возможности</w:t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ＭＳ 明朝" w:cs=""/>
                <w:b/>
                <w:color w:val="1A5B64"/>
                <w:kern w:val="0"/>
                <w:sz w:val="24"/>
                <w:szCs w:val="24"/>
                <w:lang w:val="en-US" w:eastAsia="en-US" w:bidi="ar-SA"/>
              </w:rPr>
              <w:t>O</w:t>
            </w:r>
            <w:r>
              <w:rPr>
                <w:rFonts w:eastAsia="ＭＳ 明朝" w:cs=""/>
                <w:b/>
                <w:color w:val="1A5B64"/>
                <w:kern w:val="0"/>
                <w:sz w:val="24"/>
                <w:szCs w:val="24"/>
                <w:lang w:val="ru-RU" w:eastAsia="en-US" w:bidi="ar-SA"/>
              </w:rPr>
              <w:t xml:space="preserve">1. </w:t>
            </w:r>
            <w:r>
              <w:rPr>
                <w:sz w:val="24"/>
                <w:szCs w:val="24"/>
              </w:rPr>
              <w:t>Роботы Яндекса осуществляют доставку из магазинов торговых сетей, таких как «Пятёрочка» и «Перекрёсток» (X5 Group), для заказов через «Яндекс Еду» и «Деливери» и могут масштабироваться дальше [18]</w:t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ＭＳ 明朝" w:cs=""/>
                <w:b/>
                <w:color w:val="1A5B64"/>
                <w:kern w:val="0"/>
                <w:sz w:val="24"/>
                <w:szCs w:val="24"/>
                <w:lang w:val="en-US" w:eastAsia="en-US" w:bidi="ar-SA"/>
              </w:rPr>
              <w:t>O</w:t>
            </w:r>
            <w:r>
              <w:rPr>
                <w:rFonts w:eastAsia="ＭＳ 明朝" w:cs=""/>
                <w:b/>
                <w:color w:val="1A5B64"/>
                <w:kern w:val="0"/>
                <w:sz w:val="24"/>
                <w:szCs w:val="24"/>
                <w:lang w:val="ru-RU" w:eastAsia="en-US" w:bidi="ar-SA"/>
              </w:rPr>
              <w:t xml:space="preserve">2. </w:t>
            </w:r>
            <w:r>
              <w:rPr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Любая сторонняя компания, использующая логистические решения Яндекса, может подключить стандартную автоматизированную доставку роботом до подъезда или новый гибридный формат.</w:t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ＭＳ 明朝" w:cs=""/>
                <w:b/>
                <w:color w:val="1A5B64"/>
                <w:kern w:val="0"/>
                <w:sz w:val="24"/>
                <w:szCs w:val="24"/>
                <w:lang w:val="en-US" w:eastAsia="en-US" w:bidi="ar-SA"/>
              </w:rPr>
              <w:t>O</w:t>
            </w:r>
            <w:r>
              <w:rPr>
                <w:rFonts w:eastAsia="ＭＳ 明朝" w:cs=""/>
                <w:b/>
                <w:color w:val="1A5B64"/>
                <w:kern w:val="0"/>
                <w:sz w:val="24"/>
                <w:szCs w:val="24"/>
                <w:lang w:val="ru-RU" w:eastAsia="en-US" w:bidi="ar-SA"/>
              </w:rPr>
              <w:t xml:space="preserve">3. </w:t>
            </w:r>
            <w:r>
              <w:rPr>
                <w:sz w:val="24"/>
                <w:szCs w:val="24"/>
              </w:rPr>
              <w:t>Яндекс предлагает B2B-клиентам брендирование, кобрендинг кузова роботов или специальные рекламные проекты [16]</w:t>
            </w:r>
          </w:p>
        </w:tc>
        <w:tc>
          <w:tcPr>
            <w:tcW w:w="4677" w:type="dxa"/>
            <w:tcBorders/>
            <w:shd w:color="auto" w:fill="F4F6F7" w:val="clear"/>
          </w:tcPr>
          <w:p>
            <w:pPr>
              <w:pStyle w:val="Tabletext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163044"/>
                <w:kern w:val="0"/>
                <w:sz w:val="24"/>
                <w:szCs w:val="24"/>
                <w:lang w:val="en-US" w:eastAsia="en-US" w:bidi="ar-SA"/>
              </w:rPr>
              <w:t>T</w:t>
            </w:r>
            <w:r>
              <w:rPr>
                <w:rFonts w:eastAsia="ＭＳ 明朝" w:cs=""/>
                <w:b/>
                <w:color w:val="163044"/>
                <w:kern w:val="0"/>
                <w:sz w:val="24"/>
                <w:szCs w:val="24"/>
                <w:lang w:val="ru-RU" w:eastAsia="en-US" w:bidi="ar-SA"/>
              </w:rPr>
              <w:t xml:space="preserve"> — Внешние угрозы</w:t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ＭＳ 明朝" w:cs=""/>
                <w:b/>
                <w:color w:val="1A5B64"/>
                <w:kern w:val="0"/>
                <w:sz w:val="24"/>
                <w:szCs w:val="24"/>
                <w:lang w:val="en-US" w:eastAsia="en-US" w:bidi="ar-SA"/>
              </w:rPr>
              <w:t>T</w:t>
            </w:r>
            <w:r>
              <w:rPr>
                <w:rFonts w:eastAsia="ＭＳ 明朝" w:cs=""/>
                <w:b/>
                <w:color w:val="1A5B64"/>
                <w:kern w:val="0"/>
                <w:sz w:val="24"/>
                <w:szCs w:val="24"/>
                <w:lang w:val="ru-RU" w:eastAsia="en-US" w:bidi="ar-SA"/>
              </w:rPr>
              <w:t xml:space="preserve">1. </w:t>
            </w:r>
            <w:r>
              <w:rPr>
                <w:sz w:val="24"/>
                <w:szCs w:val="24"/>
              </w:rPr>
              <w:t>Сильные снегопады, гололед, слякоть и ливни существенно снижают точность работы сенсоров (лидаров и камер). Роверы могут буксовать в сугробах или ошибаться при распознавании препятствий из-за налипшего снега.</w:t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ＭＳ 明朝" w:cs=""/>
                <w:b/>
                <w:color w:val="1A5B64"/>
                <w:kern w:val="0"/>
                <w:sz w:val="24"/>
                <w:szCs w:val="24"/>
                <w:lang w:val="en-US" w:eastAsia="en-US" w:bidi="ar-SA"/>
              </w:rPr>
              <w:t>T</w:t>
            </w:r>
            <w:r>
              <w:rPr>
                <w:rFonts w:eastAsia="ＭＳ 明朝" w:cs=""/>
                <w:b/>
                <w:color w:val="1A5B64"/>
                <w:kern w:val="0"/>
                <w:sz w:val="24"/>
                <w:szCs w:val="24"/>
                <w:lang w:val="ru-RU" w:eastAsia="en-US" w:bidi="ar-SA"/>
              </w:rPr>
              <w:t xml:space="preserve">2. </w:t>
            </w:r>
            <w:r>
              <w:rPr>
                <w:sz w:val="24"/>
                <w:szCs w:val="24"/>
              </w:rPr>
              <w:t>Эффективная работа беспилотников завязана на постоянный обмен данными и работу ИИ-моделей в облаке. Серия недавних атак БПЛА на ключевые дата-центры «Яндекса» (в Сасове, Калуге и Владимире) временно выводила из строя до 3 из 5 ЦОД компании.</w:t>
            </w:r>
          </w:p>
          <w:p>
            <w:pPr>
              <w:pStyle w:val="Tabletext"/>
              <w:widowControl/>
              <w:suppressAutoHyphens w:val="true"/>
              <w:spacing w:before="10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ＭＳ 明朝" w:cs=""/>
                <w:b/>
                <w:color w:val="1A5B64"/>
                <w:kern w:val="0"/>
                <w:sz w:val="24"/>
                <w:szCs w:val="24"/>
                <w:lang w:val="en-US" w:eastAsia="en-US" w:bidi="ar-SA"/>
              </w:rPr>
              <w:t>T</w:t>
            </w:r>
            <w:r>
              <w:rPr>
                <w:rFonts w:eastAsia="ＭＳ 明朝" w:cs=""/>
                <w:b/>
                <w:color w:val="1A5B64"/>
                <w:kern w:val="0"/>
                <w:sz w:val="24"/>
                <w:szCs w:val="24"/>
                <w:lang w:val="ru-RU" w:eastAsia="en-US" w:bidi="ar-SA"/>
              </w:rPr>
              <w:t xml:space="preserve">3. </w:t>
            </w:r>
            <w:r>
              <w:rPr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Санкционное давление ограничивает доступ к передовым полупроводникам, мощным вычислительным блокам и продвинутым зарубежным лидарам. Хотя компания локализует производство роверов 4-го поколения в РФ, зависимость от цепочек поставок из Китая или параллельного импорта сохраняет риски удорожания компонентов.</w:t>
            </w:r>
            <w:r>
              <w:rPr>
                <w:sz w:val="24"/>
                <w:szCs w:val="24"/>
              </w:rPr>
              <w:t xml:space="preserve"> [19]</w:t>
            </w:r>
          </w:p>
        </w:tc>
      </w:tr>
    </w:tbl>
    <w:p>
      <w:pPr>
        <w:pStyle w:val="Normal"/>
        <w:spacing w:before="0" w:after="0"/>
        <w:jc w:val="both"/>
        <w:rPr>
          <w:lang w:val="ru-RU"/>
        </w:rPr>
      </w:pPr>
      <w:r>
        <w:rPr>
          <w:lang w:val="ru-RU"/>
        </w:rPr>
      </w:r>
    </w:p>
    <w:p>
      <w:pPr>
        <w:pStyle w:val="Heading2"/>
        <w:jc w:val="both"/>
        <w:rPr>
          <w:lang w:val="ru-RU"/>
        </w:rPr>
      </w:pPr>
      <w:r>
        <w:rPr>
          <w:lang w:val="ru-RU"/>
        </w:rPr>
        <w:t xml:space="preserve">3.1. Выводы по </w:t>
      </w:r>
      <w:r>
        <w:rPr/>
        <w:t>SWOT</w:t>
      </w:r>
      <w:r>
        <w:rPr>
          <w:lang w:val="ru-RU"/>
        </w:rPr>
        <w:t>-анализу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>Главным подтверждённым преимуществом Яндекса является сочетание масштаба собственных разработок, цифровой инфраструктуры и практического опыта масштабирования автономной доставки. Экономия на автономной доставке позволяет вкладывать значительную долю инвестиций в область масштабирования такой доставки.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>Внешние возможности позволяют использовать накопленные компетенции для сравнительного тестирования различных решений и организации масштабирвоания на новых партнерах и новых териториях. Вместе с тем стремительное масштабирование способно создать дополнительные риски несовместимости, частого обслуживания и не готовности к возможным политическим угрозам (как серия недавник атак БПЛА).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>Сопоставление факторов приводит к выводу о предпочтительности стратегии, которая использует внутренние цифровые ресурсы яндекса, контролирует масштабирование на новых териториях и партнерах, и оптимизирует этот бизнес-процесс. Основной стратегический акцент следует сделать на контроле и оптимизации масштабирования, а не на максимально ускоренном темпе этогол масштабирвоания.</w:t>
      </w:r>
    </w:p>
    <w:p>
      <w:pPr>
        <w:pStyle w:val="Heading2"/>
        <w:jc w:val="both"/>
        <w:rPr>
          <w:lang w:val="ru-RU"/>
        </w:rPr>
      </w:pPr>
      <w:r>
        <w:rPr>
          <w:lang w:val="ru-RU"/>
        </w:rPr>
        <w:t xml:space="preserve">3.2. Стратегические следствия сопоставления </w:t>
      </w:r>
      <w:r>
        <w:rPr/>
        <w:t>SWOT</w:t>
      </w:r>
      <w:r>
        <w:rPr>
          <w:lang w:val="ru-RU"/>
        </w:rPr>
        <w:t>-факторов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>Сочетание сильных сторон и возможностей (</w:t>
      </w:r>
      <w:r>
        <w:rPr>
          <w:sz w:val="26"/>
          <w:szCs w:val="26"/>
        </w:rPr>
        <w:t>SO</w:t>
      </w:r>
      <w:r>
        <w:rPr>
          <w:sz w:val="26"/>
          <w:szCs w:val="26"/>
          <w:lang w:val="ru-RU"/>
        </w:rPr>
        <w:t>) предполагает использование существующих ИТ-компетенций и технологий для дальнейшего стремительного контролируемого масштабирования автономной доставки. В связке сильных сторон и угроз (</w:t>
      </w:r>
      <w:r>
        <w:rPr>
          <w:sz w:val="26"/>
          <w:szCs w:val="26"/>
        </w:rPr>
        <w:t>ST</w:t>
      </w:r>
      <w:r>
        <w:rPr>
          <w:sz w:val="26"/>
          <w:szCs w:val="26"/>
          <w:lang w:val="ru-RU"/>
        </w:rPr>
        <w:t>) целесообразно применить единую модель контроля, мониторинга и отказоустойчивости, снижающую зависимость функционирования облачных ресурсов яндекса.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>Для предполагаемых слабостей и возможностей (</w:t>
      </w:r>
      <w:r>
        <w:rPr>
          <w:sz w:val="26"/>
          <w:szCs w:val="26"/>
        </w:rPr>
        <w:t>WO</w:t>
      </w:r>
      <w:r>
        <w:rPr>
          <w:sz w:val="26"/>
          <w:szCs w:val="26"/>
          <w:lang w:val="ru-RU"/>
        </w:rPr>
        <w:t>) первостепенное значение имеет предварительное обследование технической готовности автономной доставки на конкретной территории и/или с конкретным партнером. Стратегия снижения слабостей и угроз (</w:t>
      </w:r>
      <w:r>
        <w:rPr>
          <w:sz w:val="26"/>
          <w:szCs w:val="26"/>
        </w:rPr>
        <w:t>WT</w:t>
      </w:r>
      <w:r>
        <w:rPr>
          <w:sz w:val="26"/>
          <w:szCs w:val="26"/>
          <w:lang w:val="ru-RU"/>
        </w:rPr>
        <w:t>) состоит в обязательной оценке рисков до начала масштабирования, пилотной эксплуатации в ограниченном контуре и запрете запуска автономной доставки без подтверждения экономических и эксплуатационных критериев. Эти действия образуют логическую основу дальнейшей стратегии развития.</w:t>
      </w:r>
    </w:p>
    <w:p>
      <w:pPr>
        <w:pStyle w:val="Heading1"/>
        <w:jc w:val="both"/>
        <w:rPr>
          <w:lang w:val="ru-RU"/>
        </w:rPr>
      </w:pPr>
      <w:r>
        <w:rPr>
          <w:lang w:val="ru-RU"/>
        </w:rPr>
        <w:t>4. ВЫБОР И ОБОСНОВАНИЕ СТРАТЕГИИ РАЗВИТИЯ</w:t>
      </w:r>
    </w:p>
    <w:p>
      <w:pPr>
        <w:pStyle w:val="Heading2"/>
        <w:jc w:val="both"/>
        <w:rPr>
          <w:lang w:val="ru-RU"/>
        </w:rPr>
      </w:pPr>
      <w:r>
        <w:rPr>
          <w:lang w:val="ru-RU"/>
        </w:rPr>
        <w:t>4.1. Предлагаемая стратегия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По результатам анализа предметной области, </w:t>
      </w:r>
      <w:r>
        <w:rPr>
          <w:rFonts w:ascii="Times New Roman" w:hAnsi="Times New Roman"/>
          <w:sz w:val="26"/>
          <w:szCs w:val="26"/>
        </w:rPr>
        <w:t>PEST</w:t>
      </w:r>
      <w:r>
        <w:rPr>
          <w:rFonts w:ascii="Times New Roman" w:hAnsi="Times New Roman"/>
          <w:sz w:val="26"/>
          <w:szCs w:val="26"/>
          <w:lang w:val="ru-RU"/>
        </w:rPr>
        <w:t xml:space="preserve">- и </w:t>
      </w:r>
      <w:r>
        <w:rPr>
          <w:rFonts w:ascii="Times New Roman" w:hAnsi="Times New Roman"/>
          <w:sz w:val="26"/>
          <w:szCs w:val="26"/>
        </w:rPr>
        <w:t>SWOT</w:t>
      </w:r>
      <w:r>
        <w:rPr>
          <w:rFonts w:ascii="Times New Roman" w:hAnsi="Times New Roman"/>
          <w:sz w:val="26"/>
          <w:szCs w:val="26"/>
          <w:lang w:val="ru-RU"/>
        </w:rPr>
        <w:t>-анализов для яндекса рекомендуется стратегия ускоренного, контролируемого и  централизованного масштабирования автономной доставки на новые территории и новых партнеров.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ru-RU"/>
        </w:rPr>
        <w:t>Стратегия предусматривает создание устойчивого механизма контроля и отказоустойчивости процесса масштабирования. Полный запуск начинается с пилотных доставок, после чего решения допускаются к масштабированию только при достижении подтверждённых целевых показателей.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ru-RU"/>
        </w:rPr>
        <w:t>Выбор данной стратегии обусловлен тем, что необходимое на наш взглд стремительное масштабирование автономной доставки на новые территории и новых партнеров может привести к неожижанной экономической нецелесообразности масштабирования на данную территорию и/или данного партнера в связи с неподготовкой улиц, неожижанной нагрузки, климата, и прочьих рисков, связанных с недостаточностью предварительного просчета. Поэтапное стремительное масштабирование позволяет объединить экономию от массового производства роверов и минимизировать внезапные непредвиде</w:t>
      </w:r>
      <w:r>
        <w:rPr>
          <w:rFonts w:ascii="Times New Roman" w:hAnsi="Times New Roman"/>
          <w:sz w:val="26"/>
          <w:szCs w:val="26"/>
          <w:lang w:val="ru-RU"/>
        </w:rPr>
        <w:t>н</w:t>
      </w:r>
      <w:r>
        <w:rPr>
          <w:rFonts w:ascii="Times New Roman" w:hAnsi="Times New Roman"/>
          <w:sz w:val="26"/>
          <w:szCs w:val="26"/>
          <w:lang w:val="ru-RU"/>
        </w:rPr>
        <w:t>ные риски.</w:t>
      </w:r>
    </w:p>
    <w:p>
      <w:pPr>
        <w:pStyle w:val="Heading2"/>
        <w:jc w:val="both"/>
        <w:rPr>
          <w:sz w:val="27"/>
          <w:szCs w:val="27"/>
        </w:rPr>
      </w:pPr>
      <w:r>
        <w:rPr>
          <w:rFonts w:ascii="Times New Roman" w:hAnsi="Times New Roman"/>
          <w:sz w:val="27"/>
          <w:szCs w:val="27"/>
          <w:lang w:val="ru-RU"/>
        </w:rPr>
        <w:t>4.2. Соответствие при</w:t>
      </w:r>
      <w:r>
        <w:rPr>
          <w:sz w:val="27"/>
          <w:szCs w:val="27"/>
          <w:lang w:val="ru-RU"/>
        </w:rPr>
        <w:t>оритетным направлениям научно-технологического развития РФ</w:t>
      </w:r>
    </w:p>
    <w:p>
      <w:pPr>
        <w:pStyle w:val="Normal"/>
        <w:jc w:val="both"/>
        <w:rPr>
          <w:lang w:val="ru-RU"/>
        </w:rPr>
      </w:pPr>
      <w:r>
        <w:rPr>
          <w:lang w:val="ru-RU"/>
        </w:rPr>
        <w:t>Нормативная основа выбранной стратегии определяется Указом Президента Российской Федерации от 18 июня 2024 г. № 529, утвердившим приоритетные направления научно-технологического развития и перечень важнейших наукоёмких технологий. Для рассматриваемого проекта непосредственное значение имеет приоритетное направление № 5 «Интеллектуальные транспортные и телекоммуникационные системы, включая автономные транспортные средства» [20].</w:t>
      </w:r>
    </w:p>
    <w:p>
      <w:pPr>
        <w:pStyle w:val="Normal"/>
        <w:jc w:val="both"/>
        <w:rPr>
          <w:lang w:val="ru-RU"/>
        </w:rPr>
      </w:pPr>
      <w:r>
        <w:rPr>
          <w:lang w:val="ru-RU"/>
        </w:rPr>
        <w:t>Второе релевантное направление Указа № 529 - № 4 «Безопасность получения, хранения, передачи и обработки информации» [20]. Масштабирование автономного транспорта увеличивает значение защищённого обмена информацией о клиентах. системами управления роботами, техническими службами и диспетчеризацией. Следовательно, развитие информационной безопасности и устойчивой архитектуры является частью выбранной стратегии, а не отдельной вспомогательной мерой.</w:t>
      </w:r>
    </w:p>
    <w:p>
      <w:pPr>
        <w:pStyle w:val="Normal"/>
        <w:jc w:val="both"/>
        <w:rPr>
          <w:lang w:val="ru-RU"/>
        </w:rPr>
      </w:pPr>
      <w:r>
        <w:rPr>
          <w:lang w:val="ru-RU"/>
        </w:rPr>
        <w:t>Дополнительное основание содержится в Стратегии научно-технологического развития Российской Федерации, утверждённой Указом Президента РФ от 28 февраля 2024 г. № 145. В пункте 21 отмечается приоритет перехода к передовым технологиям с использованием интеллектуальных решений, роботизированных систем, машинного обучения и искусственного интеллекта; также предусмотрено развитие интеллектуальных транспортно-логистических систем [21]. Предлагаемая стратегия яндекса соотносится с указанными приоритетами непосредственно через автономный транспорт и аналитическое управление эффективностью.</w:t>
      </w:r>
    </w:p>
    <w:p>
      <w:pPr>
        <w:pStyle w:val="Normal"/>
        <w:jc w:val="both"/>
        <w:rPr>
          <w:lang w:val="ru-RU"/>
        </w:rPr>
      </w:pPr>
      <w:r>
        <w:rPr>
          <w:lang w:val="ru-RU"/>
        </w:rPr>
        <w:t>Указ Президента РФ от 7 мая 2024 г. № 309 устанавливает национальные цели развития, включая цифровую трансформацию государственного и муниципального управления, экономики и социальной сферы [22]. Для частной компании он формирует общий стратегический контекст цифровизации</w:t>
      </w:r>
      <w:r>
        <w:rPr>
          <w:lang w:val="ru-RU"/>
        </w:rPr>
        <w:t>.</w:t>
      </w:r>
      <w:r>
        <w:rPr>
          <w:lang w:val="ru-RU"/>
        </w:rPr>
        <w:t xml:space="preserve"> Таким образом, соответствие государственным приоритетам обосновано через свойства предлагаемых технологий и управленческих механизмо</w:t>
      </w:r>
      <w:r>
        <w:rPr>
          <w:lang w:val="ru-RU"/>
        </w:rPr>
        <w:t>в.</w:t>
      </w:r>
    </w:p>
    <w:p>
      <w:pPr>
        <w:pStyle w:val="Heading2"/>
        <w:jc w:val="both"/>
        <w:rPr>
          <w:lang w:val="ru-RU"/>
        </w:rPr>
      </w:pPr>
      <w:r>
        <w:rPr>
          <w:lang w:val="ru-RU"/>
        </w:rPr>
        <w:t>4.3. Приоритетные технологические направления реализации стратегии</w:t>
      </w:r>
    </w:p>
    <w:p>
      <w:pPr>
        <w:pStyle w:val="BodyText"/>
        <w:spacing w:before="0" w:after="10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Первым приоритетным направлением является создание цифровых двойников процессов роботизированной доставки с использованием данных подключённых устройств. Объединение сведений о заказах, состоянии роботов, маршрутах и инцидентах позволит выявлять причины задержек и проверять сценарии масштабирования до их внедрения.</w:t>
      </w:r>
    </w:p>
    <w:p>
      <w:pPr>
        <w:pStyle w:val="BodyText"/>
        <w:spacing w:before="0" w:after="10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Второе направление - создание единого цифрового контура управления информацией. Необходимо обеспечить обмен данными между системами оформления заказов, управления доставкой, мониторинга роботов, обработки инцидентов и отчётности, сократив ручной перенос информации. </w:t>
      </w:r>
    </w:p>
    <w:p>
      <w:pPr>
        <w:pStyle w:val="BodyText"/>
        <w:spacing w:before="0" w:after="10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Третье направление - развитие аналитики эксплуатационных событий. Контроль заряда аккумуляторов, доступности маршрутов, качества связи и технических неисправностей позволит быстрее выявлять отклонения и уведомлять ответственных сотрудников, сокращая трудозатраты на мониторинг и координацию доставки.</w:t>
      </w:r>
    </w:p>
    <w:p>
      <w:pPr>
        <w:pStyle w:val="BodyText"/>
        <w:spacing w:before="0" w:after="10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Четвёртое направление - аналитическое моделирование для прогнозирования нагрузки и оценки масштабирования. </w:t>
      </w:r>
      <w:r>
        <w:rPr>
          <w:sz w:val="26"/>
          <w:szCs w:val="26"/>
          <w:lang w:val="ru-RU"/>
        </w:rPr>
        <w:t>Держа во внимании</w:t>
      </w:r>
      <w:r>
        <w:rPr>
          <w:sz w:val="26"/>
          <w:szCs w:val="26"/>
          <w:lang w:val="ru-RU"/>
        </w:rPr>
        <w:t xml:space="preserve"> рост заказов, пик</w:t>
      </w:r>
      <w:r>
        <w:rPr>
          <w:sz w:val="26"/>
          <w:szCs w:val="26"/>
          <w:lang w:val="ru-RU"/>
        </w:rPr>
        <w:t>и</w:t>
      </w:r>
      <w:r>
        <w:rPr>
          <w:sz w:val="26"/>
          <w:szCs w:val="26"/>
          <w:lang w:val="ru-RU"/>
        </w:rPr>
        <w:t xml:space="preserve"> спроса, доступност</w:t>
      </w:r>
      <w:r>
        <w:rPr>
          <w:sz w:val="26"/>
          <w:szCs w:val="26"/>
          <w:lang w:val="ru-RU"/>
        </w:rPr>
        <w:t>ь</w:t>
      </w:r>
      <w:r>
        <w:rPr>
          <w:sz w:val="26"/>
          <w:szCs w:val="26"/>
          <w:lang w:val="ru-RU"/>
        </w:rPr>
        <w:t xml:space="preserve"> роботов и подключени</w:t>
      </w:r>
      <w:r>
        <w:rPr>
          <w:sz w:val="26"/>
          <w:szCs w:val="26"/>
          <w:lang w:val="ru-RU"/>
        </w:rPr>
        <w:t>е</w:t>
      </w:r>
      <w:r>
        <w:rPr>
          <w:sz w:val="26"/>
          <w:szCs w:val="26"/>
          <w:lang w:val="ru-RU"/>
        </w:rPr>
        <w:t xml:space="preserve"> новых партнёров, необходимо оценивать пропускную способность, потребность в ресурсах и эксплуатационные затраты. Это позволит сравнивать варианты развития автономной доставки и выбирать экономически обоснованные решения.</w:t>
      </w:r>
    </w:p>
    <w:p>
      <w:pPr>
        <w:pStyle w:val="BodyText"/>
        <w:spacing w:before="0" w:after="10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Перечисленные технологии являются средствами реализации стратегии ускоренного, контролируемого и централизованного масштабирования автономной доставки. Основными критериями их выбора остаются возможность предварительной оценки новых территорий и партнёров, централизованный контроль процессов, снижение операционных рисков и подтверждение экономической целесообразности. Масштабирование должно проводиться поэтапно, с обязательным проведением пилотных доставок и проверкой показателей перед полноценным запуском. Такой подход позволит ускорить подключение новых партнёров и территорий без возникновения дополнительных операционных рисков.</w:t>
      </w:r>
    </w:p>
    <w:p>
      <w:pPr>
        <w:pStyle w:val="Heading2"/>
        <w:jc w:val="both"/>
        <w:rPr>
          <w:lang w:val="ru-RU"/>
        </w:rPr>
      </w:pPr>
      <w:r>
        <w:rPr/>
        <w:t>4.4. Механизм реализации стратегии</w:t>
      </w:r>
    </w:p>
    <w:p>
      <w:pPr>
        <w:pStyle w:val="BodyText"/>
        <w:spacing w:before="0" w:after="100"/>
        <w:jc w:val="both"/>
        <w:rPr/>
      </w:pPr>
      <w:r>
        <w:rPr/>
        <w:t xml:space="preserve">Предлагается переходить от обследования к масштабированию автономной доставки через последовательные контрольные этапы. На подготовительном этапе оценивается техническая готовность новой территории и партнёра, прогнозируется нагрузка и рассчитываются необходимые ресурсы. Затем с использованием цифрового двойника моделируются сценарии запуска, оцениваются риски и экономическая целесообразность. Далее организуется пилотная доставка на ограниченной территории с централизованным контролем </w:t>
      </w:r>
      <w:r>
        <w:rPr/>
        <w:t>процесса автономной доставки</w:t>
      </w:r>
      <w:r>
        <w:rPr/>
        <w:t xml:space="preserve">. По результатам пилота принимается решение о дальнейшем масштабировании </w:t>
      </w:r>
      <w:r>
        <w:rPr/>
        <w:t>и его экономической целесообразности</w:t>
      </w:r>
      <w:r>
        <w:rPr/>
        <w:t>.</w:t>
      </w:r>
    </w:p>
    <w:p>
      <w:pPr>
        <w:pStyle w:val="BodyText"/>
        <w:spacing w:before="0" w:after="100"/>
        <w:jc w:val="both"/>
        <w:rPr/>
      </w:pPr>
      <w:r>
        <w:rPr/>
        <w:t>Условием перехода к следующему этапу должны быть соблюдение требований безопасности, стабильность интеграций, достижение целевых показателей и подтверждённая экономическая целесообразность. Такой механизм позволит ускорить подключение новых территорий и партнёров, сохранив контроль над процессом масштабирования и операционными рисками.</w:t>
      </w:r>
    </w:p>
    <w:p>
      <w:pPr>
        <w:pStyle w:val="Normal"/>
        <w:jc w:val="both"/>
        <w:rPr>
          <w:lang w:val="ru-RU"/>
        </w:rPr>
      </w:pPr>
      <w:r>
        <w:rPr/>
      </w:r>
    </w:p>
    <w:p>
      <w:pPr>
        <w:pStyle w:val="BodyText"/>
        <w:spacing w:before="0" w:after="100"/>
        <w:ind w:hanging="0" w:start="0"/>
        <w:jc w:val="both"/>
        <w:rPr>
          <w:lang w:val="ru-RU"/>
        </w:rPr>
      </w:pPr>
      <w:r>
        <w:rPr>
          <w:lang w:val="ru-RU"/>
        </w:rPr>
      </w:r>
    </w:p>
    <w:p>
      <w:pPr>
        <w:pStyle w:val="BodyText"/>
        <w:spacing w:before="0" w:after="100"/>
        <w:ind w:hanging="0" w:start="0"/>
        <w:jc w:val="both"/>
        <w:rPr>
          <w:lang w:val="ru-RU"/>
        </w:rPr>
      </w:pPr>
      <w:r>
        <w:rPr>
          <w:lang w:val="ru-RU"/>
        </w:rPr>
      </w:r>
    </w:p>
    <w:p>
      <w:pPr>
        <w:pStyle w:val="BodyText"/>
        <w:spacing w:before="0" w:after="100"/>
        <w:ind w:hanging="0" w:start="0"/>
        <w:jc w:val="both"/>
        <w:rPr>
          <w:lang w:val="ru-RU"/>
        </w:rPr>
      </w:pPr>
      <w:r>
        <w:rPr>
          <w:lang w:val="ru-RU"/>
        </w:rPr>
      </w:r>
    </w:p>
    <w:p>
      <w:pPr>
        <w:pStyle w:val="BodyText"/>
        <w:spacing w:before="0" w:after="100"/>
        <w:ind w:hanging="0" w:start="0"/>
        <w:jc w:val="both"/>
        <w:rPr>
          <w:lang w:val="ru-RU"/>
        </w:rPr>
      </w:pPr>
      <w:r>
        <w:rPr>
          <w:lang w:val="ru-RU"/>
        </w:rPr>
      </w:r>
    </w:p>
    <w:p>
      <w:pPr>
        <w:pStyle w:val="Heading1"/>
        <w:jc w:val="both"/>
        <w:rPr>
          <w:lang w:val="ru-RU"/>
        </w:rPr>
      </w:pPr>
      <w:r>
        <w:rPr>
          <w:lang w:val="ru-RU"/>
        </w:rPr>
        <w:t>5. СТРАТЕГИЧЕСКАЯ ЦЕЛЬ, ДЕРЕВО ЦЕЛЕЙ И ЗАДАЧИ</w:t>
      </w:r>
    </w:p>
    <w:p>
      <w:pPr>
        <w:pStyle w:val="Heading2"/>
        <w:jc w:val="both"/>
        <w:rPr>
          <w:lang w:val="ru-RU"/>
        </w:rPr>
      </w:pPr>
      <w:r>
        <w:rPr/>
        <w:t>5.1. Стратегическая цель</w:t>
      </w:r>
    </w:p>
    <w:p>
      <w:pPr>
        <w:pStyle w:val="BodyText"/>
        <w:ind w:hanging="0" w:start="0"/>
        <w:jc w:val="both"/>
        <w:rPr/>
      </w:pPr>
      <w:r>
        <w:rPr/>
        <w:t xml:space="preserve">Стратегическая цель цифровой трансформации автономной доставки Яндекса заключается в повышении </w:t>
      </w:r>
      <w:r>
        <w:rPr/>
        <w:t>скорости</w:t>
      </w:r>
      <w:r>
        <w:rPr/>
        <w:t xml:space="preserve"> и управляемости масштабирования роботизированной доставки за счёт централизованного контроля операционных процессов, применения цифровых двойников и предварительной оценки технической и экономической целесообразности запуска на новых территориях и у новых партнёров.</w:t>
      </w:r>
    </w:p>
    <w:p>
      <w:pPr>
        <w:pStyle w:val="BodyText"/>
        <w:spacing w:before="0" w:after="100"/>
        <w:jc w:val="both"/>
        <w:rPr/>
      </w:pPr>
      <w:r>
        <w:rPr/>
        <w:t xml:space="preserve">Для </w:t>
      </w:r>
      <w:r>
        <w:rPr/>
        <w:t xml:space="preserve">SMART </w:t>
      </w:r>
      <w:r>
        <w:rPr/>
        <w:t>цели выбрана формулировка</w:t>
      </w:r>
      <w:r>
        <w:rPr/>
        <w:t xml:space="preserve">: в течение </w:t>
      </w:r>
      <w:r>
        <w:rPr/>
        <w:t>9</w:t>
      </w:r>
      <w:r>
        <w:rPr/>
        <w:t xml:space="preserve"> месяцев разработать и апроб</w:t>
      </w:r>
      <w:r>
        <w:rPr/>
        <w:t>овать</w:t>
      </w:r>
      <w:r>
        <w:rPr/>
        <w:t xml:space="preserve"> систему поддержки масштабирования автономной доставки </w:t>
      </w:r>
      <w:r>
        <w:rPr/>
        <w:t>на 3 новых территориях и у 3 новых партнеров</w:t>
      </w:r>
      <w:r>
        <w:rPr/>
        <w:t xml:space="preserve">, обеспечив сокращение среднего срока подключения новых партнёров относительно исходного уровня не менее чем на 20%, снижение </w:t>
      </w:r>
      <w:r>
        <w:rPr/>
        <w:t xml:space="preserve">часов работы </w:t>
      </w:r>
      <w:r>
        <w:rPr/>
        <w:t xml:space="preserve">сотрудников на подготовку запуска не менее чем на 15%. </w:t>
      </w:r>
      <w:r>
        <w:rPr/>
        <w:t>Далее сформировать план масштабривания на каждую новую территорию и каждого нового партнера и расчитать экономическую целесообразность дальнейшего масштабирования на них.</w:t>
      </w:r>
    </w:p>
    <w:p>
      <w:pPr>
        <w:pStyle w:val="Heading2"/>
        <w:jc w:val="both"/>
        <w:rPr>
          <w:lang w:val="ru-RU"/>
        </w:rPr>
      </w:pPr>
      <w:r>
        <w:rPr>
          <w:lang w:val="ru-RU"/>
        </w:rPr>
        <w:t>5.3. Основные задачи достижения цели</w:t>
      </w:r>
    </w:p>
    <w:p>
      <w:pPr>
        <w:pStyle w:val="Heading2"/>
        <w:numPr>
          <w:ilvl w:val="0"/>
          <w:numId w:val="7"/>
        </w:numPr>
        <w:jc w:val="both"/>
        <w:rPr>
          <w:rFonts w:ascii="Times New Roman" w:hAnsi="Times New Roman"/>
          <w:b w:val="false"/>
          <w:bCs w:val="false"/>
          <w:color w:val="000000"/>
          <w:sz w:val="26"/>
          <w:szCs w:val="26"/>
        </w:rPr>
      </w:pP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>Провести обследование текущих процессов автономной доставки, определить основные причины задержек при подключении новых партнёров и территорий, установить исходные значения KPI.</w:t>
      </w:r>
    </w:p>
    <w:p>
      <w:pPr>
        <w:pStyle w:val="Heading2"/>
        <w:numPr>
          <w:ilvl w:val="0"/>
          <w:numId w:val="7"/>
        </w:numPr>
        <w:jc w:val="both"/>
        <w:rPr>
          <w:rFonts w:ascii="Times New Roman" w:hAnsi="Times New Roman"/>
          <w:b w:val="false"/>
          <w:bCs w:val="false"/>
          <w:color w:val="000000"/>
          <w:sz w:val="26"/>
          <w:szCs w:val="26"/>
        </w:rPr>
      </w:pP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>Определить требования к системе централизованного контроля масштабирования</w:t>
      </w:r>
    </w:p>
    <w:p>
      <w:pPr>
        <w:pStyle w:val="Heading2"/>
        <w:numPr>
          <w:ilvl w:val="0"/>
          <w:numId w:val="7"/>
        </w:numPr>
        <w:jc w:val="both"/>
        <w:rPr>
          <w:rFonts w:ascii="Times New Roman" w:hAnsi="Times New Roman"/>
          <w:b w:val="false"/>
          <w:bCs w:val="false"/>
          <w:color w:val="000000"/>
          <w:sz w:val="26"/>
          <w:szCs w:val="26"/>
        </w:rPr>
      </w:pP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 xml:space="preserve">Разработать </w:t>
      </w: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>процесс</w:t>
      </w: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 xml:space="preserve"> интеграции с существующими системами оформления заказов </w:t>
      </w: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 xml:space="preserve">и </w:t>
      </w: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>мониторинга оборудования.</w:t>
      </w:r>
    </w:p>
    <w:p>
      <w:pPr>
        <w:pStyle w:val="Heading2"/>
        <w:numPr>
          <w:ilvl w:val="0"/>
          <w:numId w:val="7"/>
        </w:numPr>
        <w:jc w:val="both"/>
        <w:rPr>
          <w:rFonts w:ascii="Times New Roman" w:hAnsi="Times New Roman"/>
          <w:b w:val="false"/>
          <w:bCs w:val="false"/>
          <w:color w:val="000000"/>
          <w:sz w:val="26"/>
          <w:szCs w:val="26"/>
        </w:rPr>
      </w:pP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 xml:space="preserve">Разработать цифровую модель процессов доставки, </w:t>
      </w: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>которая сможет</w:t>
      </w: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 xml:space="preserve"> оценивать нагрузку, потребность в ресурсах и возможные риски при подключении новых партнёров и территорий.</w:t>
      </w:r>
    </w:p>
    <w:p>
      <w:pPr>
        <w:pStyle w:val="Heading2"/>
        <w:numPr>
          <w:ilvl w:val="0"/>
          <w:numId w:val="7"/>
        </w:numPr>
        <w:jc w:val="both"/>
        <w:rPr>
          <w:rFonts w:ascii="Times New Roman" w:hAnsi="Times New Roman"/>
          <w:b w:val="false"/>
          <w:bCs w:val="false"/>
          <w:color w:val="000000"/>
          <w:sz w:val="26"/>
          <w:szCs w:val="26"/>
        </w:rPr>
      </w:pP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>Реализовать единый интерфейс мониторинга с отображением основных KPI, статусов заказов, состояния роботов и зарегистрированных инцидентов.</w:t>
      </w:r>
    </w:p>
    <w:p>
      <w:pPr>
        <w:pStyle w:val="Heading2"/>
        <w:numPr>
          <w:ilvl w:val="0"/>
          <w:numId w:val="7"/>
        </w:numPr>
        <w:jc w:val="both"/>
        <w:rPr>
          <w:rFonts w:ascii="Times New Roman" w:hAnsi="Times New Roman"/>
          <w:b w:val="false"/>
          <w:bCs w:val="false"/>
          <w:color w:val="000000"/>
          <w:sz w:val="26"/>
          <w:szCs w:val="26"/>
        </w:rPr>
      </w:pP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>Разработать механизм предварительной оценки технической готовности и экономической целесообразности масштабирования на новые территории с учётом предполагаемых затрат, нагрузки и ограничений инфраструктуры.</w:t>
      </w:r>
    </w:p>
    <w:p>
      <w:pPr>
        <w:pStyle w:val="Heading2"/>
        <w:numPr>
          <w:ilvl w:val="0"/>
          <w:numId w:val="7"/>
        </w:numPr>
        <w:jc w:val="both"/>
        <w:rPr>
          <w:rFonts w:ascii="Times New Roman" w:hAnsi="Times New Roman"/>
          <w:b w:val="false"/>
          <w:bCs w:val="false"/>
          <w:color w:val="000000"/>
          <w:sz w:val="26"/>
          <w:szCs w:val="26"/>
        </w:rPr>
      </w:pP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 xml:space="preserve">Провести пилотные проверки минимум на трёх </w:t>
      </w: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>новых территориях и партнерах</w:t>
      </w: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 xml:space="preserve">, оценить работоспособность интеграций и </w:t>
      </w: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>оценить обработать фактические результаты</w:t>
      </w: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>.</w:t>
      </w:r>
    </w:p>
    <w:p>
      <w:pPr>
        <w:pStyle w:val="Heading2"/>
        <w:numPr>
          <w:ilvl w:val="0"/>
          <w:numId w:val="7"/>
        </w:numPr>
        <w:jc w:val="both"/>
        <w:rPr>
          <w:rFonts w:ascii="Times New Roman" w:hAnsi="Times New Roman"/>
          <w:b w:val="false"/>
          <w:bCs w:val="false"/>
          <w:color w:val="000000"/>
          <w:sz w:val="26"/>
          <w:szCs w:val="26"/>
        </w:rPr>
      </w:pP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>Оценить изменение сроков подключения партнёров, трудозатрат сотрудников, количества инцидентов и экономических показателей по результатам пилотного внедрения.</w:t>
      </w:r>
    </w:p>
    <w:p>
      <w:pPr>
        <w:pStyle w:val="Normal"/>
        <w:jc w:val="both"/>
        <w:rPr>
          <w:rFonts w:ascii="Times New Roman" w:hAnsi="Times New Roman"/>
          <w:b w:val="false"/>
          <w:bCs w:val="false"/>
          <w:color w:val="000000"/>
          <w:sz w:val="26"/>
          <w:szCs w:val="26"/>
        </w:rPr>
      </w:pP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</w:r>
    </w:p>
    <w:p>
      <w:pPr>
        <w:pStyle w:val="Normal"/>
        <w:numPr>
          <w:ilvl w:val="0"/>
          <w:numId w:val="7"/>
        </w:numPr>
        <w:jc w:val="both"/>
        <w:rPr>
          <w:rFonts w:ascii="Times New Roman" w:hAnsi="Times New Roman"/>
          <w:b w:val="false"/>
          <w:bCs w:val="false"/>
          <w:color w:val="000000"/>
          <w:sz w:val="26"/>
          <w:szCs w:val="26"/>
        </w:rPr>
      </w:pP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>Провести финальный анализ и сверху необходимых показателей</w:t>
      </w:r>
    </w:p>
    <w:p>
      <w:pPr>
        <w:pStyle w:val="Heading2"/>
        <w:numPr>
          <w:ilvl w:val="0"/>
          <w:numId w:val="7"/>
        </w:numPr>
        <w:jc w:val="both"/>
        <w:rPr>
          <w:rFonts w:ascii="Times New Roman" w:hAnsi="Times New Roman"/>
          <w:b w:val="false"/>
          <w:bCs w:val="false"/>
          <w:color w:val="000000"/>
          <w:sz w:val="26"/>
          <w:szCs w:val="26"/>
        </w:rPr>
      </w:pP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>Подготовить план дальнейшего масштабирования, включающий последовательность внедрения, распределение ответственности, требования к инфраструктуре, оценку рисков и критерии допуска к запуску.</w:t>
      </w:r>
    </w:p>
    <w:p>
      <w:pPr>
        <w:pStyle w:val="Heading1"/>
        <w:jc w:val="both"/>
        <w:rPr>
          <w:lang w:val="ru-RU"/>
        </w:rPr>
      </w:pPr>
      <w:r>
        <w:rPr>
          <w:lang w:val="ru-RU"/>
        </w:rPr>
        <w:t>6. КЛЮЧЕВЫЕ ПОКАЗАТЕЛИ ЭФФЕКТИВНОСТИ</w:t>
      </w:r>
    </w:p>
    <w:p>
      <w:pPr>
        <w:pStyle w:val="BodyText"/>
        <w:spacing w:before="0" w:after="100"/>
        <w:jc w:val="both"/>
        <w:rPr>
          <w:color w:val="000000"/>
        </w:rPr>
      </w:pPr>
      <w:r>
        <w:rPr>
          <w:color w:val="000000"/>
        </w:rPr>
        <w:t>Система KPI предназначена для проверки того, действительно ли выбранная стратегия повышает эффективность масштабирования автономной доставки. Показатели должны рассчитываться одинаково для сравниваемых периодов и площадок. Для каждого необходимо определить источник данных, ответственного сотрудника, исходное значение и целевой уровень. Основной акцент делается на сокращении сроков подключения новых партнёров, снижении трудозатрат, контроле операционных рисков и подтверждении экономической целесообразности масштабирования.</w:t>
      </w:r>
    </w:p>
    <w:tbl>
      <w:tblPr>
        <w:tblW w:w="9355" w:type="dxa"/>
        <w:jc w:val="start"/>
        <w:tblInd w:w="28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2945"/>
        <w:gridCol w:w="3413"/>
        <w:gridCol w:w="2997"/>
      </w:tblGrid>
      <w:tr>
        <w:trPr/>
        <w:tc>
          <w:tcPr>
            <w:tcW w:w="2945" w:type="dxa"/>
            <w:tcBorders/>
            <w:vAlign w:val="center"/>
          </w:tcPr>
          <w:p>
            <w:pPr>
              <w:pStyle w:val="TableHeading"/>
              <w:spacing w:before="0" w:after="100"/>
              <w:ind w:hanging="0" w:start="0"/>
              <w:jc w:val="center"/>
              <w:rPr/>
            </w:pPr>
            <w:r>
              <w:rPr/>
              <w:t>Показатель</w:t>
            </w:r>
          </w:p>
        </w:tc>
        <w:tc>
          <w:tcPr>
            <w:tcW w:w="3413" w:type="dxa"/>
            <w:tcBorders/>
            <w:vAlign w:val="center"/>
          </w:tcPr>
          <w:p>
            <w:pPr>
              <w:pStyle w:val="TableHeading"/>
              <w:spacing w:before="0" w:after="100"/>
              <w:ind w:hanging="0" w:start="0"/>
              <w:jc w:val="center"/>
              <w:rPr/>
            </w:pPr>
            <w:r>
              <w:rPr/>
              <w:t>Метод расчёта</w:t>
            </w:r>
          </w:p>
        </w:tc>
        <w:tc>
          <w:tcPr>
            <w:tcW w:w="2997" w:type="dxa"/>
            <w:tcBorders/>
            <w:vAlign w:val="center"/>
          </w:tcPr>
          <w:p>
            <w:pPr>
              <w:pStyle w:val="TableHeading"/>
              <w:spacing w:before="0" w:after="100"/>
              <w:ind w:hanging="0" w:start="0"/>
              <w:jc w:val="center"/>
              <w:rPr/>
            </w:pPr>
            <w:r>
              <w:rPr/>
              <w:t>Назначение</w:t>
            </w:r>
          </w:p>
        </w:tc>
      </w:tr>
      <w:tr>
        <w:trPr/>
        <w:tc>
          <w:tcPr>
            <w:tcW w:w="2945" w:type="dxa"/>
            <w:tcBorders/>
            <w:vAlign w:val="center"/>
          </w:tcPr>
          <w:p>
            <w:pPr>
              <w:pStyle w:val="TableContents"/>
              <w:spacing w:before="0" w:after="100"/>
              <w:ind w:hanging="0" w:start="0"/>
              <w:jc w:val="center"/>
              <w:rPr/>
            </w:pPr>
            <w:r>
              <w:rPr/>
              <w:t>Средний срок подключения</w:t>
            </w:r>
          </w:p>
        </w:tc>
        <w:tc>
          <w:tcPr>
            <w:tcW w:w="3413" w:type="dxa"/>
            <w:tcBorders/>
            <w:vAlign w:val="center"/>
          </w:tcPr>
          <w:p>
            <w:pPr>
              <w:pStyle w:val="TableContents"/>
              <w:spacing w:before="0" w:after="100"/>
              <w:ind w:hanging="0" w:start="0"/>
              <w:jc w:val="center"/>
              <w:rPr/>
            </w:pPr>
            <w:r>
              <w:rPr/>
              <w:t>Суммарное время подключения партнёров и территорий / количество подключений</w:t>
            </w:r>
          </w:p>
        </w:tc>
        <w:tc>
          <w:tcPr>
            <w:tcW w:w="2997" w:type="dxa"/>
            <w:tcBorders/>
            <w:vAlign w:val="center"/>
          </w:tcPr>
          <w:p>
            <w:pPr>
              <w:pStyle w:val="TableContents"/>
              <w:spacing w:before="0" w:after="100"/>
              <w:ind w:hanging="0" w:start="0"/>
              <w:jc w:val="center"/>
              <w:rPr/>
            </w:pPr>
            <w:r>
              <w:rPr/>
              <w:t>Оценка скорости масштабирования</w:t>
            </w:r>
          </w:p>
        </w:tc>
      </w:tr>
      <w:tr>
        <w:trPr/>
        <w:tc>
          <w:tcPr>
            <w:tcW w:w="2945" w:type="dxa"/>
            <w:tcBorders/>
            <w:vAlign w:val="center"/>
          </w:tcPr>
          <w:p>
            <w:pPr>
              <w:pStyle w:val="TableContents"/>
              <w:spacing w:before="0" w:after="100"/>
              <w:ind w:hanging="0" w:start="0"/>
              <w:jc w:val="center"/>
              <w:rPr/>
            </w:pPr>
            <w:r>
              <w:rPr/>
              <w:t>Трудозатраты на подготовку запуска</w:t>
            </w:r>
          </w:p>
        </w:tc>
        <w:tc>
          <w:tcPr>
            <w:tcW w:w="3413" w:type="dxa"/>
            <w:tcBorders/>
            <w:vAlign w:val="center"/>
          </w:tcPr>
          <w:p>
            <w:pPr>
              <w:pStyle w:val="TableContents"/>
              <w:spacing w:before="0" w:after="100"/>
              <w:ind w:hanging="0" w:start="0"/>
              <w:jc w:val="center"/>
              <w:rPr/>
            </w:pPr>
            <w:r>
              <w:rPr/>
              <w:t>Суммарные человеко-часы на подготовку подключения / количество запусков</w:t>
            </w:r>
          </w:p>
        </w:tc>
        <w:tc>
          <w:tcPr>
            <w:tcW w:w="2997" w:type="dxa"/>
            <w:tcBorders/>
            <w:vAlign w:val="center"/>
          </w:tcPr>
          <w:p>
            <w:pPr>
              <w:pStyle w:val="TableContents"/>
              <w:spacing w:before="0" w:after="100"/>
              <w:ind w:hanging="0" w:start="0"/>
              <w:jc w:val="center"/>
              <w:rPr/>
            </w:pPr>
            <w:r>
              <w:rPr/>
              <w:t>Оценка снижения трудоёмкости</w:t>
            </w:r>
          </w:p>
        </w:tc>
      </w:tr>
      <w:tr>
        <w:trPr/>
        <w:tc>
          <w:tcPr>
            <w:tcW w:w="2945" w:type="dxa"/>
            <w:tcBorders/>
            <w:vAlign w:val="center"/>
          </w:tcPr>
          <w:p>
            <w:pPr>
              <w:pStyle w:val="TableContents"/>
              <w:spacing w:before="0" w:after="100"/>
              <w:ind w:hanging="0" w:start="0"/>
              <w:jc w:val="center"/>
              <w:rPr/>
            </w:pPr>
            <w:r>
              <w:rPr/>
              <w:t xml:space="preserve">Количество пилотных </w:t>
            </w:r>
            <w:r>
              <w:rPr/>
              <w:t>запусков</w:t>
            </w:r>
          </w:p>
        </w:tc>
        <w:tc>
          <w:tcPr>
            <w:tcW w:w="3413" w:type="dxa"/>
            <w:tcBorders/>
            <w:vAlign w:val="center"/>
          </w:tcPr>
          <w:p>
            <w:pPr>
              <w:pStyle w:val="TableContents"/>
              <w:spacing w:before="0" w:after="100"/>
              <w:ind w:hanging="0" w:start="0"/>
              <w:jc w:val="center"/>
              <w:rPr/>
            </w:pPr>
            <w:r>
              <w:rPr/>
              <w:t xml:space="preserve">Число </w:t>
            </w:r>
            <w:r>
              <w:rPr/>
              <w:t>запусков</w:t>
            </w:r>
            <w:r>
              <w:rPr/>
              <w:t>, на которых проведены пилотные проверки</w:t>
            </w:r>
          </w:p>
        </w:tc>
        <w:tc>
          <w:tcPr>
            <w:tcW w:w="2997" w:type="dxa"/>
            <w:tcBorders/>
            <w:vAlign w:val="center"/>
          </w:tcPr>
          <w:p>
            <w:pPr>
              <w:pStyle w:val="TableContents"/>
              <w:spacing w:before="0" w:after="100"/>
              <w:ind w:hanging="0" w:start="0"/>
              <w:jc w:val="center"/>
              <w:rPr/>
            </w:pPr>
            <w:r>
              <w:rPr/>
              <w:t>Контроль выполнения плана пилотирования</w:t>
            </w:r>
          </w:p>
        </w:tc>
      </w:tr>
      <w:tr>
        <w:trPr/>
        <w:tc>
          <w:tcPr>
            <w:tcW w:w="2945" w:type="dxa"/>
            <w:tcBorders/>
            <w:vAlign w:val="center"/>
          </w:tcPr>
          <w:p>
            <w:pPr>
              <w:pStyle w:val="TableContents"/>
              <w:spacing w:before="0" w:after="100"/>
              <w:ind w:hanging="0" w:start="0"/>
              <w:jc w:val="center"/>
              <w:rPr/>
            </w:pPr>
            <w:r>
              <w:rPr/>
              <w:t>Доля успешных пилотов</w:t>
            </w:r>
          </w:p>
        </w:tc>
        <w:tc>
          <w:tcPr>
            <w:tcW w:w="3413" w:type="dxa"/>
            <w:tcBorders/>
            <w:vAlign w:val="center"/>
          </w:tcPr>
          <w:p>
            <w:pPr>
              <w:pStyle w:val="TableContents"/>
              <w:spacing w:before="0" w:after="100"/>
              <w:ind w:hanging="0" w:start="0"/>
              <w:jc w:val="center"/>
              <w:rPr/>
            </w:pPr>
            <w:r>
              <w:rPr/>
              <w:t>Успешные пилоты / все завершённые пилоты × 100%</w:t>
            </w:r>
          </w:p>
        </w:tc>
        <w:tc>
          <w:tcPr>
            <w:tcW w:w="2997" w:type="dxa"/>
            <w:tcBorders/>
            <w:vAlign w:val="center"/>
          </w:tcPr>
          <w:p>
            <w:pPr>
              <w:pStyle w:val="TableContents"/>
              <w:spacing w:before="0" w:after="100"/>
              <w:ind w:hanging="0" w:start="0"/>
              <w:jc w:val="center"/>
              <w:rPr/>
            </w:pPr>
            <w:r>
              <w:rPr/>
              <w:t xml:space="preserve">Оценка готовности решения к </w:t>
            </w:r>
            <w:r>
              <w:rPr/>
              <w:t>повсеместному внедрению</w:t>
            </w:r>
          </w:p>
        </w:tc>
      </w:tr>
      <w:tr>
        <w:trPr/>
        <w:tc>
          <w:tcPr>
            <w:tcW w:w="2945" w:type="dxa"/>
            <w:tcBorders/>
            <w:vAlign w:val="center"/>
          </w:tcPr>
          <w:p>
            <w:pPr>
              <w:pStyle w:val="TableContents"/>
              <w:spacing w:before="0" w:after="100"/>
              <w:ind w:hanging="0" w:start="0"/>
              <w:jc w:val="center"/>
              <w:rPr/>
            </w:pPr>
            <w:r>
              <w:rPr/>
              <w:t>Количество инцидентов при масштабировании</w:t>
            </w:r>
          </w:p>
        </w:tc>
        <w:tc>
          <w:tcPr>
            <w:tcW w:w="3413" w:type="dxa"/>
            <w:tcBorders/>
            <w:vAlign w:val="center"/>
          </w:tcPr>
          <w:p>
            <w:pPr>
              <w:pStyle w:val="TableContents"/>
              <w:spacing w:before="0" w:after="100"/>
              <w:ind w:hanging="0" w:start="0"/>
              <w:jc w:val="center"/>
              <w:rPr/>
            </w:pPr>
            <w:r>
              <w:rPr/>
              <w:t>Количество зарегистрированных инцидентов за период или на один запуск</w:t>
            </w:r>
          </w:p>
        </w:tc>
        <w:tc>
          <w:tcPr>
            <w:tcW w:w="2997" w:type="dxa"/>
            <w:tcBorders/>
            <w:vAlign w:val="center"/>
          </w:tcPr>
          <w:p>
            <w:pPr>
              <w:pStyle w:val="TableContents"/>
              <w:spacing w:before="0" w:after="100"/>
              <w:ind w:hanging="0" w:start="0"/>
              <w:jc w:val="center"/>
              <w:rPr/>
            </w:pPr>
            <w:r>
              <w:rPr/>
              <w:t>Контроль операционных рисков</w:t>
            </w:r>
          </w:p>
        </w:tc>
      </w:tr>
      <w:tr>
        <w:trPr/>
        <w:tc>
          <w:tcPr>
            <w:tcW w:w="2945" w:type="dxa"/>
            <w:tcBorders/>
            <w:vAlign w:val="center"/>
          </w:tcPr>
          <w:p>
            <w:pPr>
              <w:pStyle w:val="TableContents"/>
              <w:spacing w:before="0" w:after="100"/>
              <w:ind w:hanging="0" w:start="0"/>
              <w:jc w:val="center"/>
              <w:rPr/>
            </w:pPr>
            <w:r>
              <w:rPr/>
              <w:t xml:space="preserve">Доля </w:t>
            </w:r>
            <w:r>
              <w:rPr/>
              <w:t>запусков</w:t>
            </w:r>
            <w:r>
              <w:rPr/>
              <w:t xml:space="preserve"> с завершённой оценкой</w:t>
            </w:r>
          </w:p>
        </w:tc>
        <w:tc>
          <w:tcPr>
            <w:tcW w:w="3413" w:type="dxa"/>
            <w:tcBorders/>
            <w:vAlign w:val="center"/>
          </w:tcPr>
          <w:p>
            <w:pPr>
              <w:pStyle w:val="TableContents"/>
              <w:spacing w:before="0" w:after="100"/>
              <w:ind w:hanging="0" w:start="0"/>
              <w:jc w:val="center"/>
              <w:rPr/>
            </w:pPr>
            <w:r>
              <w:rPr/>
              <w:t>Запуски</w:t>
            </w:r>
            <w:r>
              <w:rPr/>
              <w:t xml:space="preserve"> с проведённой  оценкой / все рассматриваемые </w:t>
            </w:r>
            <w:r>
              <w:rPr/>
              <w:t>запуски</w:t>
            </w:r>
            <w:r>
              <w:rPr/>
              <w:t xml:space="preserve"> × 100%</w:t>
            </w:r>
          </w:p>
        </w:tc>
        <w:tc>
          <w:tcPr>
            <w:tcW w:w="2997" w:type="dxa"/>
            <w:tcBorders/>
            <w:vAlign w:val="center"/>
          </w:tcPr>
          <w:p>
            <w:pPr>
              <w:pStyle w:val="TableContents"/>
              <w:spacing w:before="0" w:after="100"/>
              <w:ind w:hanging="0" w:start="0"/>
              <w:jc w:val="center"/>
              <w:rPr/>
            </w:pPr>
            <w:r>
              <w:rPr/>
              <w:t xml:space="preserve">Контроль </w:t>
            </w:r>
            <w:r>
              <w:rPr/>
              <w:t>целесообразности</w:t>
            </w:r>
            <w:r>
              <w:rPr/>
              <w:t xml:space="preserve"> решений о запуске</w:t>
            </w:r>
          </w:p>
        </w:tc>
      </w:tr>
      <w:tr>
        <w:trPr/>
        <w:tc>
          <w:tcPr>
            <w:tcW w:w="2945" w:type="dxa"/>
            <w:tcBorders/>
            <w:vAlign w:val="center"/>
          </w:tcPr>
          <w:p>
            <w:pPr>
              <w:pStyle w:val="TableContents"/>
              <w:spacing w:before="0" w:after="100"/>
              <w:ind w:hanging="0" w:start="0"/>
              <w:jc w:val="center"/>
              <w:rPr/>
            </w:pPr>
            <w:r>
              <w:rPr/>
              <w:t>Экономическая эффективность</w:t>
            </w:r>
          </w:p>
        </w:tc>
        <w:tc>
          <w:tcPr>
            <w:tcW w:w="3413" w:type="dxa"/>
            <w:tcBorders/>
            <w:vAlign w:val="center"/>
          </w:tcPr>
          <w:p>
            <w:pPr>
              <w:pStyle w:val="TableContents"/>
              <w:spacing w:before="0" w:after="100"/>
              <w:ind w:hanging="0" w:start="0"/>
              <w:jc w:val="center"/>
              <w:rPr/>
            </w:pPr>
            <w:r>
              <w:rPr/>
              <w:t>NPV = сумма дисконтированных денежных потоков − первоначальные инвестиции</w:t>
            </w:r>
          </w:p>
        </w:tc>
        <w:tc>
          <w:tcPr>
            <w:tcW w:w="2997" w:type="dxa"/>
            <w:tcBorders/>
            <w:vAlign w:val="center"/>
          </w:tcPr>
          <w:p>
            <w:pPr>
              <w:pStyle w:val="TableContents"/>
              <w:spacing w:before="0" w:after="100"/>
              <w:ind w:hanging="0" w:start="0"/>
              <w:jc w:val="center"/>
              <w:rPr/>
            </w:pPr>
            <w:r>
              <w:rPr/>
              <w:t>Оценка целесообразности дальнейшего масштабирования</w:t>
            </w:r>
          </w:p>
        </w:tc>
      </w:tr>
    </w:tbl>
    <w:p>
      <w:pPr>
        <w:pStyle w:val="BodyText"/>
        <w:spacing w:before="0" w:after="100"/>
        <w:jc w:val="both"/>
        <w:rPr>
          <w:color w:val="000000"/>
        </w:rPr>
      </w:pPr>
      <w:r>
        <w:rPr>
          <w:color w:val="000000"/>
        </w:rPr>
      </w:r>
    </w:p>
    <w:p>
      <w:pPr>
        <w:pStyle w:val="BodyText"/>
        <w:spacing w:before="0" w:after="100"/>
        <w:jc w:val="both"/>
        <w:rPr>
          <w:color w:val="000000"/>
        </w:rPr>
      </w:pPr>
      <w:r>
        <w:rPr>
          <w:color w:val="000000"/>
        </w:rPr>
        <w:t xml:space="preserve">Целевыми значениями являются сокращение среднего срока подключения не менее чем на 20%, снижение </w:t>
      </w:r>
      <w:r>
        <w:rPr>
          <w:color w:val="000000"/>
        </w:rPr>
        <w:t>человеко-часов</w:t>
      </w:r>
      <w:r>
        <w:rPr>
          <w:color w:val="000000"/>
        </w:rPr>
        <w:t xml:space="preserve"> на подготовку запуска не менее чем на 15% и проведение пилотных проверок минимум на трёх </w:t>
      </w:r>
      <w:r>
        <w:rPr>
          <w:color w:val="000000"/>
        </w:rPr>
        <w:t>новых территориях и партенрах</w:t>
      </w:r>
      <w:r>
        <w:rPr>
          <w:color w:val="000000"/>
        </w:rPr>
        <w:t>. Для дальнейшего масштабирования необходимо подтвердить положительную расчётную экономическую эффективность решения.</w:t>
      </w:r>
    </w:p>
    <w:p>
      <w:pPr>
        <w:pStyle w:val="BodyText"/>
        <w:spacing w:before="0" w:after="100"/>
        <w:jc w:val="both"/>
        <w:rPr>
          <w:color w:val="000000"/>
        </w:rPr>
      </w:pPr>
      <w:r>
        <w:rPr>
          <w:color w:val="000000"/>
        </w:rPr>
      </w:r>
    </w:p>
    <w:p>
      <w:pPr>
        <w:pStyle w:val="Heading2"/>
        <w:jc w:val="both"/>
        <w:rPr/>
      </w:pPr>
      <w:r>
        <w:rPr/>
        <w:t>6.1. Порядок определения и проверки KPI</w:t>
      </w:r>
    </w:p>
    <w:p>
      <w:pPr>
        <w:pStyle w:val="BodyText"/>
        <w:spacing w:before="0" w:after="100"/>
        <w:jc w:val="both"/>
        <w:rPr>
          <w:color w:val="000000"/>
        </w:rPr>
      </w:pPr>
      <w:r>
        <w:rPr>
          <w:color w:val="000000"/>
        </w:rPr>
        <w:t xml:space="preserve">До масштабирования автономной доставки необходимо зафиксировать исходные показатели </w:t>
      </w:r>
      <w:r>
        <w:rPr>
          <w:color w:val="000000"/>
        </w:rPr>
        <w:t>до начала внедрения</w:t>
      </w:r>
      <w:r>
        <w:rPr>
          <w:color w:val="000000"/>
        </w:rPr>
        <w:t xml:space="preserve"> с учётом количества заказов, нагрузки на роботов и особенностей территории. При проведении пилотов фиксируются сроки подключения партнёров, трудозатраты сотрудников, количество инцидентов и фактические эксплуатационные расходы. После завершения пилотов результаты сопоставляются с исходными значениями и установленными целевыми показателями.</w:t>
      </w:r>
    </w:p>
    <w:p>
      <w:pPr>
        <w:pStyle w:val="BodyText"/>
        <w:spacing w:before="0" w:after="100"/>
        <w:jc w:val="both"/>
        <w:rPr>
          <w:color w:val="000000"/>
        </w:rPr>
      </w:pPr>
      <w:r>
        <w:rPr>
          <w:color w:val="000000"/>
        </w:rPr>
        <w:t>Для оценки экономической эффективности необходимо учитывать не только ожидаемое сокращение сроков и трудозатрат, но и расходы на интеграцию с существующими ИТ-системами, подготовку инфраструктуры, подключение партнёров, техническое обслуживание роботов и сопровождение решения. При сценарном анализе следует рассматривать изменение количества заказов, доступности роботов, погодных условий, стоимости труда и частоты технических сбоев.</w:t>
      </w:r>
    </w:p>
    <w:p>
      <w:pPr>
        <w:pStyle w:val="BodyText"/>
        <w:spacing w:before="0" w:after="100"/>
        <w:jc w:val="both"/>
        <w:rPr>
          <w:color w:val="000000"/>
        </w:rPr>
      </w:pPr>
      <w:r>
        <w:rPr>
          <w:color w:val="000000"/>
        </w:rPr>
        <w:t>Окончательное решение о масштабировании целесообразно принимать при выполнении условий: достижение целевых показателей, подтверждённая экономическая целесообразность, соблюдение требований безопасности и стабильность интеграций с существующими системами. Если эти условия не выполнены, необходимо скорректировать решение и провести дополнительную проверку до полноценного запуска.</w:t>
      </w:r>
    </w:p>
    <w:p>
      <w:pPr>
        <w:pStyle w:val="Normal"/>
        <w:ind w:hanging="0" w:start="0"/>
        <w:jc w:val="both"/>
        <w:rPr>
          <w:b w:val="false"/>
          <w:bCs w:val="false"/>
          <w:color w:val="000000"/>
        </w:rPr>
      </w:pPr>
      <w:r>
        <w:rPr>
          <w:b w:val="false"/>
          <w:bCs w:val="false"/>
          <w:color w:val="000000"/>
        </w:rPr>
      </w:r>
    </w:p>
    <w:p>
      <w:pPr>
        <w:pStyle w:val="Heading1"/>
        <w:ind w:hanging="0" w:start="0"/>
        <w:jc w:val="both"/>
        <w:rPr>
          <w:rFonts w:ascii="Times New Roman" w:hAnsi="Times New Roman" w:eastAsia="ＭＳ 明朝"/>
          <w:color w:val="000000"/>
          <w:sz w:val="26"/>
          <w:szCs w:val="22"/>
        </w:rPr>
      </w:pPr>
      <w:r>
        <w:rPr>
          <w:rFonts w:eastAsia="ＭＳ 明朝" w:ascii="Times New Roman" w:hAnsi="Times New Roman"/>
          <w:color w:val="000000"/>
          <w:sz w:val="26"/>
          <w:szCs w:val="22"/>
        </w:rPr>
        <w:t>7. НОРМАТИВНО-ПРАВОВОЕ РЕГУЛИРОВАНИЕ И СТАНДАРТЫ</w:t>
      </w:r>
    </w:p>
    <w:p>
      <w:pPr>
        <w:pStyle w:val="BodyText"/>
        <w:spacing w:before="0" w:after="100"/>
        <w:jc w:val="both"/>
        <w:rPr>
          <w:color w:val="000000"/>
        </w:rPr>
      </w:pPr>
      <w:r>
        <w:rPr>
          <w:color w:val="000000"/>
        </w:rPr>
        <w:t>При масштабировании автономной доставки Яндекса необходимо учитывать федеральные законы, постановления Правительства и ГОСТы, регулирующие эксплуатацию роверов, безопасность персонала, работу информационных систем и обработку данных. Также важно обеспечивать централизованный контроль состояния роботов, защищать информацию о заказах и маршрутах и проверять готовность новых территорий к безопасному запуску.</w:t>
      </w:r>
    </w:p>
    <w:p>
      <w:pPr>
        <w:pStyle w:val="BodyText"/>
        <w:spacing w:before="0" w:after="100"/>
        <w:jc w:val="both"/>
        <w:rPr>
          <w:color w:val="000000"/>
        </w:rPr>
      </w:pPr>
      <w:r>
        <w:rPr>
          <w:color w:val="000000"/>
        </w:rPr>
        <w:t xml:space="preserve">Для нашего кейса необходимо учитывать Постановление Правительства РФ от 26.09.2026 № 1247, устанавливающее экспериментальный правовой режим для предоставления транспортных и логистических услуг с использованием роверов [23]. При масштабировании важно проверять условия применения данного режима, требования к техническому состоянию роботов и организации диспетчеризации. Дополнительно следует учитывать Федеральный закон № 258-ФЗ «Об экспериментальных правовых режимах в сфере цифровых и технологических инноваций в Российской Федерации» [24], регулирующий порядок установления таких режимов. Это означает, что перед запуском на новой территории необходимо проверить применимые требования и готовность инфраструктуры к </w:t>
      </w:r>
      <w:r>
        <w:rPr>
          <w:color w:val="000000"/>
        </w:rPr>
        <w:t>роверам</w:t>
      </w:r>
      <w:r>
        <w:rPr>
          <w:color w:val="000000"/>
        </w:rPr>
        <w:t>.</w:t>
      </w:r>
    </w:p>
    <w:p>
      <w:pPr>
        <w:pStyle w:val="BodyText"/>
        <w:spacing w:before="0" w:after="100"/>
        <w:jc w:val="both"/>
        <w:rPr>
          <w:color w:val="000000"/>
        </w:rPr>
      </w:pPr>
      <w:r>
        <w:rPr>
          <w:color w:val="000000"/>
        </w:rPr>
        <w:t xml:space="preserve">При работе с робототехническим оборудованием необходимо учитывать технический регламент ТР ТС 010/2011 «О безопасности машин и оборудования» [25]. Также следует соблюдать Трудовой кодекс РФ № 197-ФЗ, в частности статью 214, обязывающую работодателя обеспечивать безопасные условия труда [26]. Для нашего решения это означает необходимость определить </w:t>
      </w:r>
      <w:r>
        <w:rPr>
          <w:color w:val="000000"/>
        </w:rPr>
        <w:t>действия</w:t>
      </w:r>
      <w:r>
        <w:rPr>
          <w:color w:val="000000"/>
        </w:rPr>
        <w:t xml:space="preserve"> при неисправностях, потере связи и других нештатных ситуациях, а также распределить ответственность за мониторинг и техническое обслуживание. Дополнительно ГОСТ Р 60.6.2.2-2025 может использоваться при формировании требований к безопасности транспортных логистических роботов и проведении испытаний, если оборудование входит в область его применения [27].</w:t>
      </w:r>
    </w:p>
    <w:p>
      <w:pPr>
        <w:pStyle w:val="BodyText"/>
        <w:spacing w:before="0" w:after="100"/>
        <w:jc w:val="both"/>
        <w:rPr>
          <w:color w:val="000000"/>
        </w:rPr>
      </w:pPr>
      <w:r>
        <w:rPr>
          <w:color w:val="000000"/>
        </w:rPr>
        <w:t>При разработке системы централизованного контроля необходимо учитывать Федеральный закон № 149-ФЗ «Об информации, информационных технологиях и о защите информации» [28]. Система будет работать с данными о заказах, маршрутах, состоянии роботов и инцидентах, поэтому необходимо разграничивать права доступа, регистрировать действия пользователей и защищать информацию от несанкционированного доступа. Если система обрабатывает персональные данные сотрудников, партнёров или клиентов, необходимо соблюдать ФЗ № 152-ФЗ «О персональных данных» [29]. При работе с внутренними показателями также следует учитывать ФЗ № 98-ФЗ «О коммерческой тайне» [30], если на соответствующие сведения установлен такой режим.</w:t>
      </w:r>
    </w:p>
    <w:p>
      <w:pPr>
        <w:pStyle w:val="BodyText"/>
        <w:spacing w:before="0" w:after="100"/>
        <w:jc w:val="both"/>
        <w:rPr>
          <w:color w:val="000000"/>
        </w:rPr>
      </w:pPr>
      <w:r>
        <w:rPr>
          <w:color w:val="000000"/>
        </w:rPr>
        <w:t xml:space="preserve">При подготовке масштабирования необходимо фиксировать результаты проверки каждой территории, выявленные риски, требования к интеграции и результаты пилотной эксплуатации. Система должна помогать оценивать готовность новых </w:t>
      </w:r>
      <w:r>
        <w:rPr>
          <w:color w:val="000000"/>
        </w:rPr>
        <w:t>территорий</w:t>
      </w:r>
      <w:r>
        <w:rPr>
          <w:color w:val="000000"/>
        </w:rPr>
        <w:t>, контролировать основные показатели и принимать обоснованные решения о дальнейшем запуске. Таким образом, нормативная база позволяет определить требования к безопасной эксплуатации роверов, защите данных и организации масштабирования, а их соблюдение необходимо проверять до запуска и в ходе пилотных испытаний.</w:t>
      </w:r>
    </w:p>
    <w:p>
      <w:pPr>
        <w:pStyle w:val="Heading1"/>
        <w:jc w:val="both"/>
        <w:rPr>
          <w:lang w:val="ru-RU"/>
        </w:rPr>
      </w:pPr>
      <w:r>
        <w:rPr>
          <w:lang w:val="ru-RU"/>
        </w:rPr>
        <w:t>8. ПРЕДВАРИТЕЛЬНЫЙ ПАТЕНТНЫЙ АНАЛИЗ</w:t>
      </w:r>
    </w:p>
    <w:p>
      <w:pPr>
        <w:pStyle w:val="BodyText"/>
        <w:spacing w:before="0" w:after="100"/>
        <w:jc w:val="both"/>
        <w:rPr>
          <w:lang w:val="ru-RU"/>
        </w:rPr>
      </w:pPr>
      <w:r>
        <w:rPr>
          <w:lang w:val="ru-RU"/>
        </w:rPr>
        <w:t>Патентное исследование проведено для изучения существующих технических решений в области автономной доставки, централизованного управления роботами и взаимодействия информационных систем. Основное внимание уделено технологиям, которые могут быть полезны при разработке системы контроля масштабирования роботизированной доставки и цифрового моделирования процессов.</w:t>
      </w:r>
    </w:p>
    <w:p>
      <w:pPr>
        <w:pStyle w:val="BodyText"/>
        <w:spacing w:before="0" w:after="100"/>
        <w:jc w:val="both"/>
        <w:rPr>
          <w:lang w:val="ru-RU"/>
        </w:rPr>
      </w:pPr>
      <w:r>
        <w:rPr>
          <w:lang w:val="ru-RU"/>
        </w:rPr>
        <w:t xml:space="preserve">Приоритетными поисковыми выражениями являются «робот-доставщик», «автономная доставка товаров», «управление парком роботов», «централизованное управление роботизированной доставкой» </w:t>
      </w:r>
      <w:r>
        <w:rPr>
          <w:lang w:val="ru-RU"/>
        </w:rPr>
        <w:t xml:space="preserve">и </w:t>
      </w:r>
      <w:r>
        <w:rPr>
          <w:lang w:val="ru-RU"/>
        </w:rPr>
        <w:t>«мониторинг состояния роботов»</w:t>
      </w:r>
    </w:p>
    <w:p>
      <w:pPr>
        <w:pStyle w:val="BodyText"/>
        <w:spacing w:before="0" w:after="100"/>
        <w:jc w:val="both"/>
        <w:rPr>
          <w:lang w:val="ru-RU"/>
        </w:rPr>
      </w:pPr>
      <w:r>
        <w:rPr>
          <w:lang w:val="ru-RU"/>
        </w:rPr>
        <w:t>Предварительный поиск по открытым патентным публикациям выявил три документа, представляющих интерес для рассматриваемого проекта. Патент RU2800529C1 «Мобильный робот и способ управления мобильным роботом» [31], правообладателем которого является ООО «Яндекс Беспилотные Технологии», описывает подходы к безопасному движению робота с использованием данных камер и лидарных датчиков. Патент RU2851809C2 «Способ и система доставки товара пользователю» [32] рассматривает назначение заданий роботам из парка с использованием сервера и идентификаторов заказов. Патент RU2787547C1 «Роботизированный мобильный курьерский комплекс» [33] описывает комплекс доставки с централизованным управлением, обменом данными и взаимодействием роботизированных компонентов.</w:t>
      </w:r>
    </w:p>
    <w:p>
      <w:pPr>
        <w:pStyle w:val="BodyText"/>
        <w:spacing w:before="0" w:after="100"/>
        <w:jc w:val="both"/>
        <w:rPr>
          <w:lang w:val="ru-RU"/>
        </w:rPr>
      </w:pPr>
      <w:r>
        <w:rPr>
          <w:lang w:val="ru-RU"/>
        </w:rPr>
        <w:t>Для нашего проекта наибольший интерес представляют подходы к централизованному обмену данными, назначению заданий и контролю работы роботизированной доставки. При этом разрабатываемая система должна собирать показатели, отслеживать инциденты, моделировать сценарии масштабирования и оценивать экономическую целесообразность подключения новых партнёров и территорий.</w:t>
      </w:r>
    </w:p>
    <w:p>
      <w:pPr>
        <w:pStyle w:val="BodyText"/>
        <w:spacing w:before="0" w:after="100"/>
        <w:jc w:val="both"/>
        <w:rPr>
          <w:lang w:val="ru-RU"/>
        </w:rPr>
      </w:pPr>
      <w:r>
        <w:rPr>
          <w:lang w:val="ru-RU"/>
        </w:rPr>
        <w:t>Подобранные документы позволяют выделить существующие технические направления в области роботизированной доставки. Перед практическим внедрением необходимо проверить актуальный правовой статус патентов, действующие независимые пункты формул изобретений и соответствие признаков выбранного решения охраняемым техническим решениям.</w:t>
      </w:r>
    </w:p>
    <w:p>
      <w:pPr>
        <w:pStyle w:val="Normal"/>
        <w:ind w:hanging="0" w:start="0"/>
        <w:jc w:val="both"/>
        <w:rPr>
          <w:lang w:val="ru-RU"/>
        </w:rPr>
      </w:pPr>
      <w:r>
        <w:rPr>
          <w:lang w:val="ru-RU"/>
        </w:rPr>
      </w:r>
    </w:p>
    <w:p>
      <w:pPr>
        <w:pStyle w:val="Heading1"/>
        <w:spacing w:lineRule="auto" w:line="240"/>
        <w:jc w:val="both"/>
        <w:rPr>
          <w:lang w:val="ru-RU"/>
        </w:rPr>
      </w:pPr>
      <w:r>
        <w:rPr>
          <w:lang w:val="ru-RU"/>
        </w:rPr>
        <w:t xml:space="preserve">9. ОРГАНИЗАЦИОННАЯ СТРУКТУРА </w:t>
      </w:r>
      <w:r>
        <w:rPr/>
        <w:t>AS</w:t>
      </w:r>
      <w:r>
        <w:rPr>
          <w:lang w:val="ru-RU"/>
        </w:rPr>
        <w:t>-</w:t>
      </w:r>
      <w:r>
        <w:rPr/>
        <w:t>IS</w:t>
      </w:r>
    </w:p>
    <w:p>
      <w:pPr>
        <w:pStyle w:val="Heading2"/>
        <w:jc w:val="both"/>
        <w:rPr>
          <w:lang w:val="ru-RU"/>
        </w:rPr>
      </w:pPr>
      <w:r>
        <w:rPr>
          <w:lang w:val="ru-RU"/>
        </w:rPr>
        <w:t>9.1. Общая характеристика структуры</w:t>
      </w:r>
    </w:p>
    <w:p>
      <w:pPr>
        <w:pStyle w:val="BodyText"/>
        <w:spacing w:before="0" w:after="100"/>
        <w:jc w:val="both"/>
        <w:rPr>
          <w:color w:val="000000"/>
        </w:rPr>
      </w:pPr>
      <w:r>
        <w:rPr>
          <w:color w:val="000000"/>
        </w:rPr>
        <w:t>Для описания организационных условий цифровой трансформации необходимо выделить участников операционного подразделения «Казань-Север», отвечающих за управление автономной доставкой, диспетчерский контроль, техническое обслуживание роботов, взаимодействие с партнёрами и развитие информационных систем. В рамках кейса подразделение включает руководителя операционного направления, 7 операторов диспетчерского контроля, 3 технических специалистов, 2 менеджеров по работе с партнёрами, бизнес-аналитика и специалиста по интеграциям.</w:t>
      </w:r>
    </w:p>
    <w:p>
      <w:pPr>
        <w:pStyle w:val="BodyText"/>
        <w:spacing w:before="0" w:after="100"/>
        <w:jc w:val="both"/>
        <w:rPr>
          <w:color w:val="000000"/>
        </w:rPr>
      </w:pPr>
      <w:r>
        <w:rPr>
          <w:color w:val="000000"/>
        </w:rPr>
        <w:t>В текущей модели операционные функции распределены между несколькими группами сотрудников. Операторы контролируют выполнение заказов и участвуют в обработке инцидентов, технические специалисты отвечают за готовность парка роботов и устранение неисправностей, а менеджеры сопровождают подключение партнёров. Бизнес-аналитик участвует в оценке показателей деятельности, а специалист по интеграциям обеспечивает взаимодействие с информационными системами партнёров и существующ</w:t>
      </w:r>
      <w:r>
        <w:rPr>
          <w:color w:val="000000"/>
        </w:rPr>
        <w:t>ей технологической системой</w:t>
      </w:r>
      <w:r>
        <w:rPr>
          <w:color w:val="000000"/>
        </w:rPr>
        <w:t>.</w:t>
      </w:r>
    </w:p>
    <w:p>
      <w:pPr>
        <w:pStyle w:val="BodyText"/>
        <w:spacing w:before="0" w:after="100"/>
        <w:jc w:val="both"/>
        <w:rPr>
          <w:color w:val="000000"/>
        </w:rPr>
      </w:pPr>
      <w:r>
        <w:rPr>
          <w:color w:val="000000"/>
        </w:rPr>
        <w:t>Для целей кейса организационная структура рассматривается как модель пилотного подразделения. При дальнейшем проектировании необходимо определить распределение ответственности за подготовку новых территорий, интеграцию информационных систем, проведение пилотов и оценку экономической целесообразности масштабирования.</w:t>
      </w:r>
    </w:p>
    <w:p>
      <w:pPr>
        <w:pStyle w:val="BodyText"/>
        <w:spacing w:before="0" w:after="100"/>
        <w:jc w:val="both"/>
        <w:rPr>
          <w:color w:val="000000"/>
        </w:rPr>
      </w:pPr>
      <w:r>
        <w:rPr>
          <w:color w:val="000000"/>
        </w:rPr>
      </w:r>
    </w:p>
    <w:p>
      <w:pPr>
        <w:pStyle w:val="Heading2"/>
        <w:jc w:val="both"/>
        <w:rPr>
          <w:lang w:val="ru-RU"/>
        </w:rPr>
      </w:pPr>
      <w:r>
        <w:rPr>
          <w:lang w:val="ru-RU"/>
        </w:rPr>
        <w:t>9.2. Участники и распределение ответственности</w:t>
      </w:r>
    </w:p>
    <w:p>
      <w:pPr>
        <w:pStyle w:val="BodyText"/>
        <w:spacing w:before="0" w:after="100"/>
        <w:jc w:val="both"/>
        <w:rPr>
          <w:color w:val="000000"/>
        </w:rPr>
      </w:pPr>
      <w:r>
        <w:rPr>
          <w:color w:val="000000"/>
        </w:rPr>
        <w:t>Руководитель операционного направления отвечает за показатели работы подразделения, организацию доставки и координацию участников процесса. Операторы диспетчерского контроля отслеживают выполнение заказов, обрабатывают инциденты и организуют передачу заказа традиционному курьеру. Технические специалисты обеспечивают готовность парка роботов, проводят обслуживание и устраняют неисправности.</w:t>
      </w:r>
    </w:p>
    <w:p>
      <w:pPr>
        <w:pStyle w:val="BodyText"/>
        <w:spacing w:before="0" w:after="100"/>
        <w:jc w:val="both"/>
        <w:rPr>
          <w:color w:val="000000"/>
        </w:rPr>
      </w:pPr>
      <w:r>
        <w:rPr>
          <w:color w:val="000000"/>
        </w:rPr>
        <w:t xml:space="preserve">Менеджеры по работе с партнёрами отвечают за подключение новых организаций </w:t>
      </w:r>
      <w:r>
        <w:rPr>
          <w:color w:val="000000"/>
        </w:rPr>
        <w:t xml:space="preserve">и </w:t>
      </w:r>
      <w:r>
        <w:rPr>
          <w:color w:val="000000"/>
        </w:rPr>
        <w:t xml:space="preserve">согласование условий обслуживания. Бизнес-аналитик участвует в оценке </w:t>
      </w:r>
      <w:r>
        <w:rPr>
          <w:color w:val="000000"/>
        </w:rPr>
        <w:t>итоговых</w:t>
      </w:r>
      <w:r>
        <w:rPr>
          <w:color w:val="000000"/>
        </w:rPr>
        <w:t xml:space="preserve"> показателей и подготовке отчётности, а специалист по интеграциям обеспечивает обмен данными между системами партнёров и существующим контуром. Дополнительно подразделение взаимодействует с</w:t>
      </w:r>
      <w:r>
        <w:rPr>
          <w:color w:val="000000"/>
        </w:rPr>
        <w:t>о с</w:t>
      </w:r>
      <w:r>
        <w:rPr>
          <w:color w:val="000000"/>
        </w:rPr>
        <w:t xml:space="preserve">лужбами информационной безопасности, финансов, разработки автономных технологий и </w:t>
      </w:r>
      <w:r>
        <w:rPr>
          <w:color w:val="000000"/>
        </w:rPr>
        <w:t>юристами.</w:t>
      </w:r>
    </w:p>
    <w:p>
      <w:pPr>
        <w:pStyle w:val="BodyText"/>
        <w:spacing w:before="0" w:after="100"/>
        <w:jc w:val="both"/>
        <w:rPr>
          <w:color w:val="000000"/>
        </w:rPr>
      </w:pPr>
      <w:r>
        <w:rPr>
          <w:color w:val="000000"/>
        </w:rPr>
        <w:t xml:space="preserve">При масштабировании автономной доставки особое значение </w:t>
      </w:r>
      <w:r>
        <w:rPr>
          <w:color w:val="000000"/>
        </w:rPr>
        <w:t>занимает</w:t>
      </w:r>
      <w:r>
        <w:rPr>
          <w:color w:val="000000"/>
        </w:rPr>
        <w:t xml:space="preserve"> распределение ответственности за нештатные ситуации: потерю связи с роботом, недостаточный заряд аккумулятора, недоступность маршрута, технические неисправности и задержки заказов. В текущей модели такие события обрабатываются операторами с привлечением ответственных специалистов, а результаты фиксируются в используемых операционных инструментах.</w:t>
      </w:r>
    </w:p>
    <w:p>
      <w:pPr>
        <w:pStyle w:val="BodyText"/>
        <w:spacing w:before="0" w:after="100"/>
        <w:ind w:hanging="0" w:start="0"/>
        <w:jc w:val="both"/>
        <w:rPr>
          <w:color w:val="000000"/>
        </w:rPr>
      </w:pPr>
      <w:r>
        <w:rPr>
          <w:color w:val="000000"/>
        </w:rPr>
      </w:r>
    </w:p>
    <w:p>
      <w:pPr>
        <w:pStyle w:val="Heading1"/>
        <w:jc w:val="both"/>
        <w:rPr>
          <w:lang w:val="ru-RU"/>
        </w:rPr>
      </w:pPr>
      <w:r>
        <w:rPr>
          <w:lang w:val="ru-RU"/>
        </w:rPr>
        <w:t xml:space="preserve">10. БИЗНЕС-ПРОЦЕССЫ </w:t>
      </w:r>
      <w:r>
        <w:rPr/>
        <w:t>AS</w:t>
      </w:r>
      <w:r>
        <w:rPr>
          <w:lang w:val="ru-RU"/>
        </w:rPr>
        <w:t>-</w:t>
      </w:r>
      <w:r>
        <w:rPr/>
        <w:t>IS</w:t>
      </w:r>
      <w:r>
        <w:rPr>
          <w:lang w:val="ru-RU"/>
        </w:rPr>
        <w:t xml:space="preserve"> И </w:t>
      </w:r>
      <w:r>
        <w:rPr/>
        <w:t>BPMN</w:t>
      </w:r>
      <w:r>
        <w:rPr>
          <w:lang w:val="ru-RU"/>
        </w:rPr>
        <w:t xml:space="preserve"> 2.0</w:t>
      </w:r>
    </w:p>
    <w:p>
      <w:pPr>
        <w:pStyle w:val="Heading2"/>
        <w:jc w:val="both"/>
        <w:rPr>
          <w:lang w:val="ru-RU"/>
        </w:rPr>
      </w:pPr>
      <w:r>
        <w:rPr>
          <w:lang w:val="ru-RU"/>
        </w:rPr>
        <w:t>10.1. Общая процессная модель</w:t>
      </w:r>
    </w:p>
    <w:p>
      <w:pPr>
        <w:pStyle w:val="BodyText"/>
        <w:spacing w:before="0" w:after="100"/>
        <w:jc w:val="both"/>
        <w:rPr>
          <w:color w:val="000000"/>
        </w:rPr>
      </w:pPr>
      <w:r>
        <w:rPr>
          <w:color w:val="000000"/>
        </w:rPr>
        <w:t>Ц</w:t>
      </w:r>
      <w:r>
        <w:rPr>
          <w:color w:val="000000"/>
        </w:rPr>
        <w:t xml:space="preserve">икл автономной доставки начинается с подключения корпоративного партнёра и согласования условий обслуживания, после чего организуется обмен данными с существующими системами. Далее выполняется обработка </w:t>
      </w:r>
      <w:r>
        <w:rPr>
          <w:color w:val="000000"/>
        </w:rPr>
        <w:t>и</w:t>
      </w:r>
      <w:r>
        <w:rPr>
          <w:color w:val="000000"/>
        </w:rPr>
        <w:t xml:space="preserve"> проверка возможности роботизированной доставки, назначение задания и передача заказа роботу. После завершения доставки результат регистрируется в системе учёта. При возникновении неисправностей, задержек или других отклонений проводится обработка инцидентов с привлечением ответственных сотрудников.</w:t>
      </w:r>
    </w:p>
    <w:p>
      <w:pPr>
        <w:pStyle w:val="BodyText"/>
        <w:spacing w:before="0" w:after="100"/>
        <w:jc w:val="both"/>
        <w:rPr>
          <w:color w:val="000000"/>
        </w:rPr>
      </w:pPr>
      <w:r>
        <w:rPr>
          <w:color w:val="000000"/>
        </w:rPr>
        <w:t>Для анализа выбраны два сквозных процесса. Первый - «Подключение корпоративного партнёра», он позволяет оценить продолжительность согласований, трудозатраты на интеграцию и подготовку запуска. Второй - «Выполнение доставки и обработка инцидентов», он позволяет оценить взаимодействие операторов, технических специалистов и партнёров, а также выявить причины задержек и передачи заказов традиционным курьерам.</w:t>
      </w:r>
    </w:p>
    <w:p>
      <w:pPr>
        <w:pStyle w:val="Heading2"/>
        <w:jc w:val="both"/>
        <w:rPr>
          <w:lang w:val="ru-RU"/>
        </w:rPr>
      </w:pPr>
      <w:r>
        <w:rPr>
          <w:lang w:val="ru-RU"/>
        </w:rPr>
        <w:t>10.2. AS-IS: подключение корпоративного партнёра</w:t>
      </w:r>
    </w:p>
    <w:p>
      <w:pPr>
        <w:pStyle w:val="BodyText"/>
        <w:spacing w:before="0" w:after="100"/>
        <w:jc w:val="both"/>
        <w:rPr>
          <w:color w:val="000000"/>
        </w:rPr>
      </w:pPr>
      <w:r>
        <w:rPr>
          <w:color w:val="000000"/>
        </w:rPr>
        <w:t>Первым</w:t>
      </w:r>
      <w:r>
        <w:rPr>
          <w:color w:val="000000"/>
        </w:rPr>
        <w:t xml:space="preserve"> событием процесса является поступление заявки от новой организации. Менеджер по работе с партнёрами уточняет ожидаемый объём заказов, расположение объектов и требования к обслуживанию. Затем проводится оценка возможности доставки на выбранной территории и при необходимости согласовываются дополнительные зоны обслуживания. Специалист по интеграциям проверяет формат данных партнёра и организует обмен информацией с существующими системами. После </w:t>
      </w:r>
      <w:r>
        <w:rPr>
          <w:color w:val="000000"/>
        </w:rPr>
        <w:t>чего</w:t>
      </w:r>
      <w:r>
        <w:rPr>
          <w:color w:val="000000"/>
        </w:rPr>
        <w:t xml:space="preserve"> принимается решение о подключении партнёра.</w:t>
      </w:r>
    </w:p>
    <w:p>
      <w:pPr>
        <w:pStyle w:val="BodyText"/>
        <w:spacing w:before="0" w:after="100"/>
        <w:jc w:val="both"/>
        <w:rPr>
          <w:color w:val="000000"/>
        </w:rPr>
      </w:pPr>
      <w:r>
        <w:rPr>
          <w:color w:val="000000"/>
        </w:rPr>
        <w:t xml:space="preserve">Входными данными являются заявка, сведения об объектах, прогнозируемая нагрузка и требования к обмену информацией. Результатом становится подключённый партнёр, готовый к выполнению заказов. При этом часть информации хранится в рабочих документах и отдельных системах сопровождения, что усложняет подготовку </w:t>
      </w:r>
      <w:r>
        <w:rPr>
          <w:color w:val="000000"/>
        </w:rPr>
        <w:t xml:space="preserve">связных </w:t>
      </w:r>
      <w:r>
        <w:rPr>
          <w:color w:val="000000"/>
        </w:rPr>
        <w:t>сведений.</w:t>
      </w:r>
    </w:p>
    <w:p>
      <w:pPr>
        <w:pStyle w:val="BodyText"/>
        <w:spacing w:before="0" w:after="100"/>
        <w:jc w:val="both"/>
        <w:rPr>
          <w:color w:val="000000"/>
        </w:rPr>
      </w:pPr>
      <w:r>
        <w:rPr>
          <w:color w:val="000000"/>
        </w:rPr>
        <w:t>Для оценки эффективности необходимо измерять средний срок подключения партнёра, трудозатраты сотрудников, количество дополнительных согласований и число ошибок, выявленных при тестировании интеграции.</w:t>
      </w:r>
    </w:p>
    <w:p>
      <w:pPr>
        <w:pStyle w:val="Heading2"/>
        <w:jc w:val="both"/>
        <w:rPr>
          <w:lang w:val="ru-RU"/>
        </w:rPr>
      </w:pPr>
      <w:r>
        <w:rPr>
          <w:lang w:val="ru-RU"/>
        </w:rPr>
        <w:t>10.3. AS-IS: выполнение доставки и обработка инцидентов</w:t>
      </w:r>
    </w:p>
    <w:p>
      <w:pPr>
        <w:pStyle w:val="BodyText"/>
        <w:spacing w:before="0" w:after="100"/>
        <w:jc w:val="both"/>
        <w:rPr>
          <w:color w:val="000000"/>
        </w:rPr>
      </w:pPr>
      <w:r>
        <w:rPr>
          <w:color w:val="000000"/>
        </w:rPr>
        <w:t>Процесс начинается с поступления информации о заказе в контур обслуживания. Проверяются параметры заказа, зона обслуживания и возможность выполнения доставки роботом. При соблюдении необходимых условий формируется задание, сотрудник пункта выдачи размещает товар в грузовом отсеке, после чего робот выполняет доставку с использованием существующей автономной системы. По завершении результат регистрируется в системе учёта заказов.</w:t>
      </w:r>
    </w:p>
    <w:p>
      <w:pPr>
        <w:pStyle w:val="BodyText"/>
        <w:spacing w:before="0" w:after="100"/>
        <w:jc w:val="both"/>
        <w:rPr>
          <w:color w:val="000000"/>
        </w:rPr>
      </w:pPr>
      <w:r>
        <w:rPr>
          <w:color w:val="000000"/>
        </w:rPr>
        <w:t>Если робот не может выполнить задание, возникает исключение, требующее дополнительной обработки. Информация о проблеме может поступить из системы эксплуатации, от партнёра или оператора. Оператор определяет характер инцидента и привлекает ответственного специалиста. После устранения проблемы результат фиксируется в используемых операционных инструментах. При необходимости заказ переназначается или передаётся курьеру.</w:t>
      </w:r>
    </w:p>
    <w:p>
      <w:pPr>
        <w:pStyle w:val="BodyText"/>
        <w:spacing w:before="0" w:after="100"/>
        <w:jc w:val="both"/>
        <w:rPr>
          <w:color w:val="000000"/>
        </w:rPr>
      </w:pPr>
      <w:r>
        <w:rPr>
          <w:color w:val="000000"/>
        </w:rPr>
        <w:t>Входными данными являются сведения о заказе, статусах роботов, доступности маршрутов и техническом состоянии оборудования. Результатом становится выполненная доставка либо зарегистрированное исключение с определённым способом дальнейшей обработки. Для анализа эффективности необходимо измерять продолжительность выполнения заказа, количество инцидентов, время их обработки, долю заказов, переданных курьерам, и трудозатраты операторов.</w:t>
      </w:r>
    </w:p>
    <w:p>
      <w:pPr>
        <w:pStyle w:val="Heading2"/>
        <w:jc w:val="both"/>
        <w:rPr>
          <w:lang w:val="ru-RU"/>
        </w:rPr>
      </w:pPr>
      <w:r>
        <w:rPr>
          <w:lang w:val="ru-RU"/>
        </w:rPr>
        <w:t>10.4. Предварительное выявление процессов для трансформации</w:t>
      </w:r>
    </w:p>
    <w:p>
      <w:pPr>
        <w:pStyle w:val="BodyText"/>
        <w:spacing w:before="0" w:after="100"/>
        <w:jc w:val="both"/>
        <w:rPr>
          <w:color w:val="000000"/>
        </w:rPr>
      </w:pPr>
      <w:r>
        <w:rPr>
          <w:color w:val="000000"/>
        </w:rPr>
        <w:t>Приоритетными</w:t>
      </w:r>
      <w:r>
        <w:rPr>
          <w:color w:val="000000"/>
        </w:rPr>
        <w:t xml:space="preserve"> направлениями трансформации являются подключение корпоративных партнёров, сбор и сопоставление операционных данных, обработка инцидентов и подготовка отчётности. В текущей модели сведения поступают из нескольких источников, а подготовка сводных показателей требует ручного сопоставления данных. При увеличении количества заказов и партнёров это повышает трудоёмкость управления и усложняет контроль масштабирования.</w:t>
      </w:r>
    </w:p>
    <w:p>
      <w:pPr>
        <w:pStyle w:val="BodyText"/>
        <w:spacing w:before="0" w:after="100"/>
        <w:jc w:val="both"/>
        <w:rPr/>
      </w:pPr>
      <w:r>
        <w:rPr>
          <w:color w:val="000000"/>
        </w:rPr>
        <w:t xml:space="preserve">Для устранения выявленных проблем предлагается создать единую систему централизованного контроля с интеграцией данных о заказах, состоянии роботов и инцидентах. Дополнительно необходимо использовать цифровой двойник процессов для моделирования нагрузки, оценки потребности в ресурсах и сравнения сценариев запуска на новых территориях. Приоритетность изменений должна определяться </w:t>
      </w:r>
      <w:r>
        <w:rPr>
          <w:b w:val="false"/>
          <w:bCs w:val="false"/>
          <w:color w:val="000000"/>
        </w:rPr>
        <w:t>Провести финальный анализ и сверху необходимых показателей</w:t>
      </w:r>
      <w:r>
        <w:rPr>
          <w:color w:val="000000"/>
        </w:rPr>
        <w:t>на основе измеренных трудозатрат, продолжительности операций, частоты инцидентов и экономической целесообразности.</w:t>
      </w:r>
    </w:p>
    <w:p>
      <w:pPr>
        <w:pStyle w:val="Heading1"/>
        <w:jc w:val="both"/>
        <w:rPr>
          <w:lang w:val="ru-RU"/>
        </w:rPr>
      </w:pPr>
      <w:r>
        <w:rPr>
          <w:lang w:val="ru-RU"/>
        </w:rPr>
        <w:t>СПИСОК ИСПОЛЬЗОВАННЫХ ИСТОЧНИКОВ</w:t>
      </w:r>
    </w:p>
    <w:p>
      <w:pPr>
        <w:pStyle w:val="Source"/>
        <w:numPr>
          <w:ilvl w:val="0"/>
          <w:numId w:val="8"/>
        </w:numPr>
        <w:jc w:val="both"/>
        <w:rPr/>
      </w:pPr>
      <w:hyperlink r:id="rId3">
        <w:r>
          <w:rPr>
            <w:rStyle w:val="Hyperlink"/>
            <w:sz w:val="26"/>
            <w:szCs w:val="26"/>
            <w:lang w:val="ru-RU"/>
          </w:rPr>
          <w:t>https://www.kommersant.ru/doc/8608395</w:t>
        </w:r>
      </w:hyperlink>
    </w:p>
    <w:p>
      <w:pPr>
        <w:pStyle w:val="Source"/>
        <w:numPr>
          <w:ilvl w:val="0"/>
          <w:numId w:val="8"/>
        </w:numPr>
        <w:jc w:val="both"/>
        <w:rPr/>
      </w:pPr>
      <w:hyperlink r:id="rId4">
        <w:r>
          <w:rPr>
            <w:rStyle w:val="Hyperlink"/>
            <w:sz w:val="26"/>
            <w:szCs w:val="26"/>
            <w:lang w:val="ru-RU"/>
          </w:rPr>
          <w:t>https://www.tbank.ru/invest/social/profile/TrueProphet/e1047b71-a7f8-4f7a-8b0d-1b4ef93241da/</w:t>
        </w:r>
      </w:hyperlink>
    </w:p>
    <w:p>
      <w:pPr>
        <w:pStyle w:val="Source"/>
        <w:numPr>
          <w:ilvl w:val="0"/>
          <w:numId w:val="8"/>
        </w:numPr>
        <w:jc w:val="both"/>
        <w:rPr/>
      </w:pPr>
      <w:hyperlink r:id="rId5">
        <w:r>
          <w:rPr>
            <w:rStyle w:val="Hyperlink"/>
            <w:sz w:val="26"/>
            <w:szCs w:val="26"/>
            <w:lang w:val="ru-RU"/>
          </w:rPr>
          <w:t>https://alfabank.ru/alfa-investor/posts/t/9e361dfc-6163-f111-91c6-0050569e1fd0/</w:t>
        </w:r>
      </w:hyperlink>
    </w:p>
    <w:p>
      <w:pPr>
        <w:pStyle w:val="Source"/>
        <w:numPr>
          <w:ilvl w:val="0"/>
          <w:numId w:val="8"/>
        </w:numPr>
        <w:jc w:val="both"/>
        <w:rPr/>
      </w:pPr>
      <w:hyperlink r:id="rId6">
        <w:r>
          <w:rPr>
            <w:rStyle w:val="Hyperlink"/>
            <w:sz w:val="26"/>
            <w:szCs w:val="26"/>
            <w:lang w:val="ru-RU"/>
          </w:rPr>
          <w:t>https://habr.com/ru/companies/yandex/articles/845958/</w:t>
        </w:r>
      </w:hyperlink>
    </w:p>
    <w:p>
      <w:pPr>
        <w:pStyle w:val="Source"/>
        <w:numPr>
          <w:ilvl w:val="0"/>
          <w:numId w:val="8"/>
        </w:numPr>
        <w:jc w:val="both"/>
        <w:rPr/>
      </w:pPr>
      <w:hyperlink r:id="rId7">
        <w:r>
          <w:rPr>
            <w:rStyle w:val="Hyperlink"/>
            <w:sz w:val="26"/>
            <w:szCs w:val="26"/>
            <w:lang w:val="ru-RU"/>
          </w:rPr>
          <w:t>https://nplus1.ru/material/2023/12/26/yandex-delivery-robot</w:t>
        </w:r>
      </w:hyperlink>
    </w:p>
    <w:p>
      <w:pPr>
        <w:pStyle w:val="Source"/>
        <w:numPr>
          <w:ilvl w:val="0"/>
          <w:numId w:val="8"/>
        </w:numPr>
        <w:jc w:val="both"/>
        <w:rPr/>
      </w:pPr>
      <w:hyperlink r:id="rId8">
        <w:r>
          <w:rPr>
            <w:rStyle w:val="Hyperlink"/>
            <w:sz w:val="26"/>
            <w:szCs w:val="26"/>
            <w:lang w:val="ru-RU"/>
          </w:rPr>
          <w:t>https://ru.wikipedia.org/wiki/%D0%AF%D0%BD%D0%B4%D0%B5%D0%BA%D1%81_%D0%A0%D0%BE%D0%B1%D0%BE%D1%82%D0%B8%D0%BA%D1%81</w:t>
        </w:r>
      </w:hyperlink>
    </w:p>
    <w:p>
      <w:pPr>
        <w:pStyle w:val="Source"/>
        <w:numPr>
          <w:ilvl w:val="0"/>
          <w:numId w:val="8"/>
        </w:numPr>
        <w:jc w:val="both"/>
        <w:rPr/>
      </w:pPr>
      <w:hyperlink r:id="rId9">
        <w:r>
          <w:rPr>
            <w:rStyle w:val="Hyperlink"/>
            <w:sz w:val="26"/>
            <w:szCs w:val="26"/>
            <w:lang w:val="ru-RU"/>
          </w:rPr>
          <w:t>https://russiasmartcity.ru/12-%D1%82%D1%8B%D1%81-%D1%80%D0%BE%D0%B1%D0%BE%D1%82%D0%BE%D0%B2-%D0%B2-%D1%80%D0%BE%D1%81%D1%81%D0%B8%D0%B8-%D1%83%D1%82%D0%B2%D0%B5%D1%80%D0%B4%D0%B8%D0%BB%D0%B8-%D0%BF%D1%80%D0%B0%D0%B2%D0%B8/</w:t>
        </w:r>
      </w:hyperlink>
    </w:p>
    <w:p>
      <w:pPr>
        <w:pStyle w:val="Source"/>
        <w:numPr>
          <w:ilvl w:val="0"/>
          <w:numId w:val="8"/>
        </w:numPr>
        <w:jc w:val="both"/>
        <w:rPr/>
      </w:pPr>
      <w:hyperlink r:id="rId10">
        <w:r>
          <w:rPr>
            <w:rStyle w:val="Hyperlink"/>
            <w:sz w:val="26"/>
            <w:szCs w:val="26"/>
            <w:lang w:val="ru-RU"/>
          </w:rPr>
          <w:t>https://www.kommersant.ru/doc/8989812</w:t>
        </w:r>
      </w:hyperlink>
    </w:p>
    <w:p>
      <w:pPr>
        <w:pStyle w:val="BodyText"/>
        <w:numPr>
          <w:ilvl w:val="0"/>
          <w:numId w:val="8"/>
        </w:numPr>
        <w:rPr/>
      </w:pPr>
      <w:hyperlink r:id="rId11">
        <w:r>
          <w:rPr>
            <w:rStyle w:val="Hyperlink"/>
            <w:sz w:val="26"/>
            <w:szCs w:val="26"/>
          </w:rPr>
          <w:t>https://www.cnews.ru/news/top/2026-09-30_pravitelstvo_rossii_utverdilo</w:t>
        </w:r>
      </w:hyperlink>
    </w:p>
    <w:p>
      <w:pPr>
        <w:pStyle w:val="BodyText"/>
        <w:numPr>
          <w:ilvl w:val="0"/>
          <w:numId w:val="8"/>
        </w:numPr>
        <w:rPr>
          <w:sz w:val="26"/>
          <w:szCs w:val="26"/>
        </w:rPr>
      </w:pPr>
      <w:r>
        <w:rPr>
          <w:sz w:val="26"/>
          <w:szCs w:val="26"/>
        </w:rPr>
        <w:t>https://www.vedomosti.ru/business/articles/2026/01/15/1169344-roveri-yandeksa-okazalis-inogda-rentabelnee-zhivih-kurerov</w:t>
      </w:r>
    </w:p>
    <w:p>
      <w:pPr>
        <w:pStyle w:val="BodyText"/>
        <w:numPr>
          <w:ilvl w:val="0"/>
          <w:numId w:val="8"/>
        </w:numPr>
        <w:rPr/>
      </w:pPr>
      <w:hyperlink r:id="rId12">
        <w:r>
          <w:rPr>
            <w:rStyle w:val="Hyperlink"/>
            <w:sz w:val="26"/>
            <w:szCs w:val="26"/>
          </w:rPr>
          <w:t>https://www.tadviser.ru/index.php/%D0%9F%D1%80%D0%BE%D0%B4%D1%83%D0%BA%D1%82:%D0%AF%D0%BD%D0%B4%D0%B5%D0%BA%D1%81.%D0%A0%D0%BE%D0%B2%D0%B5%D1%80</w:t>
        </w:r>
      </w:hyperlink>
    </w:p>
    <w:p>
      <w:pPr>
        <w:pStyle w:val="BodyText"/>
        <w:numPr>
          <w:ilvl w:val="0"/>
          <w:numId w:val="8"/>
        </w:numPr>
        <w:rPr/>
      </w:pPr>
      <w:hyperlink r:id="rId13">
        <w:r>
          <w:rPr>
            <w:rStyle w:val="Hyperlink"/>
            <w:sz w:val="26"/>
            <w:szCs w:val="26"/>
          </w:rPr>
          <w:t>https://www.tbank.ru/invest/social/profile/Yandex/1d5729e9-b875-4df9-9463-cd46e6ad6c34/</w:t>
        </w:r>
      </w:hyperlink>
    </w:p>
    <w:p>
      <w:pPr>
        <w:pStyle w:val="BodyText"/>
        <w:numPr>
          <w:ilvl w:val="0"/>
          <w:numId w:val="8"/>
        </w:numPr>
        <w:rPr/>
      </w:pPr>
      <w:hyperlink r:id="rId14">
        <w:r>
          <w:rPr>
            <w:rStyle w:val="Hyperlink"/>
            <w:sz w:val="26"/>
            <w:szCs w:val="26"/>
          </w:rPr>
          <w:t>https://scanport.ru/blog/avtomatizacziya-dostavki-sovremennye-tehnologii-i-rol-mobilnyh-ustrojstv/</w:t>
        </w:r>
      </w:hyperlink>
    </w:p>
    <w:p>
      <w:pPr>
        <w:pStyle w:val="BodyText"/>
        <w:numPr>
          <w:ilvl w:val="0"/>
          <w:numId w:val="8"/>
        </w:numPr>
        <w:rPr/>
      </w:pPr>
      <w:hyperlink r:id="rId15">
        <w:r>
          <w:rPr>
            <w:rStyle w:val="Hyperlink"/>
            <w:sz w:val="26"/>
            <w:szCs w:val="26"/>
          </w:rPr>
          <w:t>https://ru.made-in-china.com/video-channel/reeman_KwPfrkScCxVH_Factory-Price-Delivery-Robot-Food-Delivery-Automatic-Charging-Autonomous-Navigation-Restaurant-Smart-Delivery-Robot.html</w:t>
        </w:r>
      </w:hyperlink>
    </w:p>
    <w:p>
      <w:pPr>
        <w:pStyle w:val="BodyText"/>
        <w:numPr>
          <w:ilvl w:val="0"/>
          <w:numId w:val="8"/>
        </w:numPr>
        <w:rPr>
          <w:sz w:val="26"/>
          <w:szCs w:val="26"/>
        </w:rPr>
      </w:pPr>
      <w:r>
        <w:rPr>
          <w:sz w:val="26"/>
          <w:szCs w:val="26"/>
        </w:rPr>
        <w:t>https://www.vedomosti.ru/business/articles/2026/01/15/1169344-roveri-yandeksa-okazalis-inogda-rentabelnee-zhivih-kurerov</w:t>
      </w:r>
    </w:p>
    <w:p>
      <w:pPr>
        <w:pStyle w:val="BodyText"/>
        <w:numPr>
          <w:ilvl w:val="0"/>
          <w:numId w:val="8"/>
        </w:numPr>
        <w:rPr/>
      </w:pPr>
      <w:hyperlink r:id="rId16">
        <w:r>
          <w:rPr>
            <w:rStyle w:val="Hyperlink"/>
            <w:sz w:val="26"/>
            <w:szCs w:val="26"/>
          </w:rPr>
          <w:t>https://autonomy.yandex.ru/products/robot</w:t>
        </w:r>
      </w:hyperlink>
    </w:p>
    <w:p>
      <w:pPr>
        <w:pStyle w:val="BodyText"/>
        <w:numPr>
          <w:ilvl w:val="0"/>
          <w:numId w:val="8"/>
        </w:numPr>
        <w:rPr/>
      </w:pPr>
      <w:hyperlink r:id="rId17">
        <w:r>
          <w:rPr>
            <w:rStyle w:val="Hyperlink"/>
            <w:sz w:val="26"/>
            <w:szCs w:val="26"/>
          </w:rPr>
          <w:t>https://russiasmartcity.ru/%D0%B2-%D1%80%D0%BE%D1%81%D1%81%D0%B8%D0%B8-%D0%BD%D0%B0%D0%B1%D0%B8%D1%80%D0%B0%D0%B5%D1%82-%D0%BE%D0%B1%D0%BE%D1%80%D0%BE%D1%82%D1%8B-%D1%80%D0%BE%D0%B1%D0%BE%D1%82%D0%B8%D0%B7%D0%B0%D1%86%D0%B8/</w:t>
        </w:r>
      </w:hyperlink>
    </w:p>
    <w:p>
      <w:pPr>
        <w:pStyle w:val="BodyText"/>
        <w:numPr>
          <w:ilvl w:val="0"/>
          <w:numId w:val="8"/>
        </w:numPr>
        <w:rPr/>
      </w:pPr>
      <w:hyperlink r:id="rId18">
        <w:r>
          <w:rPr>
            <w:rStyle w:val="Hyperlink"/>
            <w:sz w:val="26"/>
            <w:szCs w:val="26"/>
          </w:rPr>
          <w:t>https://www.forbes.ru/biznes/518380-roboty-andeksa-nacali-dostavlat-zakazy-iz-paterocki-i-perekrestka</w:t>
        </w:r>
      </w:hyperlink>
    </w:p>
    <w:p>
      <w:pPr>
        <w:pStyle w:val="BodyText"/>
        <w:numPr>
          <w:ilvl w:val="0"/>
          <w:numId w:val="8"/>
        </w:numPr>
        <w:rPr/>
      </w:pPr>
      <w:hyperlink r:id="rId19">
        <w:r>
          <w:rPr>
            <w:rStyle w:val="Hyperlink"/>
            <w:sz w:val="26"/>
            <w:szCs w:val="26"/>
          </w:rPr>
          <w:t>https://www.researchandmarkets.com/report/delivery-robot-market</w:t>
        </w:r>
      </w:hyperlink>
    </w:p>
    <w:p>
      <w:pPr>
        <w:pStyle w:val="BodyText"/>
        <w:numPr>
          <w:ilvl w:val="0"/>
          <w:numId w:val="8"/>
        </w:numPr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Указ Президента РФ от 18.06.2024 № 529 «Об утверждении приоритетных направлений научно-технологического развития…». </w:t>
      </w:r>
      <w:r>
        <w:rPr>
          <w:sz w:val="26"/>
          <w:szCs w:val="26"/>
        </w:rPr>
        <w:t>URL</w:t>
      </w:r>
      <w:r>
        <w:rPr>
          <w:sz w:val="26"/>
          <w:szCs w:val="26"/>
          <w:lang w:val="ru-RU"/>
        </w:rPr>
        <w:t xml:space="preserve">: </w:t>
      </w:r>
      <w:r>
        <w:rPr>
          <w:sz w:val="26"/>
          <w:szCs w:val="26"/>
        </w:rPr>
        <w:t>https</w:t>
      </w:r>
      <w:r>
        <w:rPr>
          <w:sz w:val="26"/>
          <w:szCs w:val="26"/>
          <w:lang w:val="ru-RU"/>
        </w:rPr>
        <w:t>://</w:t>
      </w:r>
      <w:r>
        <w:rPr>
          <w:sz w:val="26"/>
          <w:szCs w:val="26"/>
        </w:rPr>
        <w:t>www</w:t>
      </w:r>
      <w:r>
        <w:rPr>
          <w:sz w:val="26"/>
          <w:szCs w:val="26"/>
          <w:lang w:val="ru-RU"/>
        </w:rPr>
        <w:t>.</w:t>
      </w:r>
      <w:r>
        <w:rPr>
          <w:sz w:val="26"/>
          <w:szCs w:val="26"/>
        </w:rPr>
        <w:t>consultant</w:t>
      </w:r>
      <w:r>
        <w:rPr>
          <w:sz w:val="26"/>
          <w:szCs w:val="26"/>
          <w:lang w:val="ru-RU"/>
        </w:rPr>
        <w:t>.</w:t>
      </w:r>
      <w:r>
        <w:rPr>
          <w:sz w:val="26"/>
          <w:szCs w:val="26"/>
        </w:rPr>
        <w:t>ru</w:t>
      </w:r>
      <w:r>
        <w:rPr>
          <w:sz w:val="26"/>
          <w:szCs w:val="26"/>
          <w:lang w:val="ru-RU"/>
        </w:rPr>
        <w:t>/</w:t>
      </w:r>
      <w:r>
        <w:rPr>
          <w:sz w:val="26"/>
          <w:szCs w:val="26"/>
        </w:rPr>
        <w:t>document</w:t>
      </w:r>
      <w:r>
        <w:rPr>
          <w:sz w:val="26"/>
          <w:szCs w:val="26"/>
          <w:lang w:val="ru-RU"/>
        </w:rPr>
        <w:t>/</w:t>
      </w:r>
      <w:r>
        <w:rPr>
          <w:sz w:val="26"/>
          <w:szCs w:val="26"/>
        </w:rPr>
        <w:t>cons</w:t>
      </w:r>
      <w:r>
        <w:rPr>
          <w:sz w:val="26"/>
          <w:szCs w:val="26"/>
          <w:lang w:val="ru-RU"/>
        </w:rPr>
        <w:t>_</w:t>
      </w:r>
      <w:r>
        <w:rPr>
          <w:sz w:val="26"/>
          <w:szCs w:val="26"/>
        </w:rPr>
        <w:t>doc</w:t>
      </w:r>
      <w:r>
        <w:rPr>
          <w:sz w:val="26"/>
          <w:szCs w:val="26"/>
          <w:lang w:val="ru-RU"/>
        </w:rPr>
        <w:t>_</w:t>
      </w:r>
      <w:r>
        <w:rPr>
          <w:sz w:val="26"/>
          <w:szCs w:val="26"/>
        </w:rPr>
        <w:t>LAW</w:t>
      </w:r>
      <w:r>
        <w:rPr>
          <w:sz w:val="26"/>
          <w:szCs w:val="26"/>
          <w:lang w:val="ru-RU"/>
        </w:rPr>
        <w:t>_478980/</w:t>
      </w:r>
      <w:r>
        <w:rPr>
          <w:sz w:val="26"/>
          <w:szCs w:val="26"/>
        </w:rPr>
        <w:t>e</w:t>
      </w:r>
      <w:r>
        <w:rPr>
          <w:sz w:val="26"/>
          <w:szCs w:val="26"/>
          <w:lang w:val="ru-RU"/>
        </w:rPr>
        <w:t>024</w:t>
      </w:r>
      <w:r>
        <w:rPr>
          <w:sz w:val="26"/>
          <w:szCs w:val="26"/>
        </w:rPr>
        <w:t>ad</w:t>
      </w:r>
      <w:r>
        <w:rPr>
          <w:sz w:val="26"/>
          <w:szCs w:val="26"/>
          <w:lang w:val="ru-RU"/>
        </w:rPr>
        <w:t>49</w:t>
      </w:r>
      <w:r>
        <w:rPr>
          <w:sz w:val="26"/>
          <w:szCs w:val="26"/>
        </w:rPr>
        <w:t>a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>bce</w:t>
      </w:r>
      <w:r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>bbbdbc</w:t>
      </w:r>
      <w:r>
        <w:rPr>
          <w:sz w:val="26"/>
          <w:szCs w:val="26"/>
          <w:lang w:val="ru-RU"/>
        </w:rPr>
        <w:t>08</w:t>
      </w:r>
      <w:r>
        <w:rPr>
          <w:sz w:val="26"/>
          <w:szCs w:val="26"/>
        </w:rPr>
        <w:t>cd</w:t>
      </w:r>
      <w:r>
        <w:rPr>
          <w:sz w:val="26"/>
          <w:szCs w:val="26"/>
          <w:lang w:val="ru-RU"/>
        </w:rPr>
        <w:t>839</w:t>
      </w:r>
      <w:r>
        <w:rPr>
          <w:sz w:val="26"/>
          <w:szCs w:val="26"/>
        </w:rPr>
        <w:t>c</w:t>
      </w:r>
      <w:r>
        <w:rPr>
          <w:sz w:val="26"/>
          <w:szCs w:val="26"/>
          <w:lang w:val="ru-RU"/>
        </w:rPr>
        <w:t>79497</w:t>
      </w:r>
      <w:r>
        <w:rPr>
          <w:sz w:val="26"/>
          <w:szCs w:val="26"/>
        </w:rPr>
        <w:t>bac</w:t>
      </w:r>
      <w:r>
        <w:rPr>
          <w:sz w:val="26"/>
          <w:szCs w:val="26"/>
          <w:lang w:val="ru-RU"/>
        </w:rPr>
        <w:t>86</w:t>
      </w:r>
      <w:r>
        <w:rPr>
          <w:sz w:val="26"/>
          <w:szCs w:val="26"/>
        </w:rPr>
        <w:t>e</w:t>
      </w:r>
      <w:r>
        <w:rPr>
          <w:sz w:val="26"/>
          <w:szCs w:val="26"/>
          <w:lang w:val="ru-RU"/>
        </w:rPr>
        <w:t>2/ (дата обращения: 26.10.2026).</w:t>
      </w:r>
    </w:p>
    <w:p>
      <w:pPr>
        <w:pStyle w:val="Source"/>
        <w:numPr>
          <w:ilvl w:val="0"/>
          <w:numId w:val="8"/>
        </w:numPr>
        <w:jc w:val="both"/>
        <w:rPr>
          <w:sz w:val="26"/>
          <w:szCs w:val="26"/>
        </w:rPr>
      </w:pPr>
      <w:r>
        <w:rPr>
          <w:sz w:val="26"/>
          <w:szCs w:val="26"/>
        </w:rPr>
        <w:t>Указ Президента РФ от 28.02.2024 № 145 «О Стратегии научно-технологического развития Российской Федерации». URL: https://base.garant.ru/408618353/ (дата обращения: 26.10.2026).</w:t>
      </w:r>
    </w:p>
    <w:p>
      <w:pPr>
        <w:pStyle w:val="Source"/>
        <w:numPr>
          <w:ilvl w:val="0"/>
          <w:numId w:val="8"/>
        </w:numPr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Указ Президента РФ от 07.05.2024 № 309 «О национальных целях развития Российской Федерации…». </w:t>
      </w:r>
      <w:r>
        <w:rPr>
          <w:sz w:val="26"/>
          <w:szCs w:val="26"/>
        </w:rPr>
        <w:t>URL</w:t>
      </w:r>
      <w:r>
        <w:rPr>
          <w:sz w:val="26"/>
          <w:szCs w:val="26"/>
          <w:lang w:val="ru-RU"/>
        </w:rPr>
        <w:t xml:space="preserve">: </w:t>
      </w:r>
      <w:r>
        <w:rPr>
          <w:sz w:val="26"/>
          <w:szCs w:val="26"/>
        </w:rPr>
        <w:t>https</w:t>
      </w:r>
      <w:r>
        <w:rPr>
          <w:sz w:val="26"/>
          <w:szCs w:val="26"/>
          <w:lang w:val="ru-RU"/>
        </w:rPr>
        <w:t>://</w:t>
      </w:r>
      <w:r>
        <w:rPr>
          <w:sz w:val="26"/>
          <w:szCs w:val="26"/>
        </w:rPr>
        <w:t>www</w:t>
      </w:r>
      <w:r>
        <w:rPr>
          <w:sz w:val="26"/>
          <w:szCs w:val="26"/>
          <w:lang w:val="ru-RU"/>
        </w:rPr>
        <w:t>.</w:t>
      </w:r>
      <w:r>
        <w:rPr>
          <w:sz w:val="26"/>
          <w:szCs w:val="26"/>
        </w:rPr>
        <w:t>consultant</w:t>
      </w:r>
      <w:r>
        <w:rPr>
          <w:sz w:val="26"/>
          <w:szCs w:val="26"/>
          <w:lang w:val="ru-RU"/>
        </w:rPr>
        <w:t>.</w:t>
      </w:r>
      <w:r>
        <w:rPr>
          <w:sz w:val="26"/>
          <w:szCs w:val="26"/>
        </w:rPr>
        <w:t>ru</w:t>
      </w:r>
      <w:r>
        <w:rPr>
          <w:sz w:val="26"/>
          <w:szCs w:val="26"/>
          <w:lang w:val="ru-RU"/>
        </w:rPr>
        <w:t>/</w:t>
      </w:r>
      <w:r>
        <w:rPr>
          <w:sz w:val="26"/>
          <w:szCs w:val="26"/>
        </w:rPr>
        <w:t>document</w:t>
      </w:r>
      <w:r>
        <w:rPr>
          <w:sz w:val="26"/>
          <w:szCs w:val="26"/>
          <w:lang w:val="ru-RU"/>
        </w:rPr>
        <w:t>/</w:t>
      </w:r>
      <w:r>
        <w:rPr>
          <w:sz w:val="26"/>
          <w:szCs w:val="26"/>
        </w:rPr>
        <w:t>cons</w:t>
      </w:r>
      <w:r>
        <w:rPr>
          <w:sz w:val="26"/>
          <w:szCs w:val="26"/>
          <w:lang w:val="ru-RU"/>
        </w:rPr>
        <w:t>_</w:t>
      </w:r>
      <w:r>
        <w:rPr>
          <w:sz w:val="26"/>
          <w:szCs w:val="26"/>
        </w:rPr>
        <w:t>doc</w:t>
      </w:r>
      <w:r>
        <w:rPr>
          <w:sz w:val="26"/>
          <w:szCs w:val="26"/>
          <w:lang w:val="ru-RU"/>
        </w:rPr>
        <w:t>_</w:t>
      </w:r>
      <w:r>
        <w:rPr>
          <w:sz w:val="26"/>
          <w:szCs w:val="26"/>
        </w:rPr>
        <w:t>LAW</w:t>
      </w:r>
      <w:r>
        <w:rPr>
          <w:sz w:val="26"/>
          <w:szCs w:val="26"/>
          <w:lang w:val="ru-RU"/>
        </w:rPr>
        <w:t>_475991/ (дата обращения: 26.10.2026).</w:t>
      </w:r>
    </w:p>
    <w:p>
      <w:pPr>
        <w:pStyle w:val="BodyText"/>
        <w:numPr>
          <w:ilvl w:val="0"/>
          <w:numId w:val="8"/>
        </w:numPr>
        <w:jc w:val="both"/>
        <w:rPr>
          <w:lang w:val="ru-RU"/>
        </w:rPr>
      </w:pPr>
      <w:r>
        <w:rPr>
          <w:sz w:val="26"/>
          <w:szCs w:val="26"/>
          <w:lang w:val="ru-RU"/>
        </w:rPr>
        <w:t xml:space="preserve">Постановление Правительства РФ от 26.09.2026 № 1247 «Об установлении экспериментального правового режима в сфере цифровых и технологических инноваций по предоставлению транспортных и логистических услуг с использованием роверов». URL: </w:t>
      </w:r>
      <w:hyperlink r:id="rId20">
        <w:r>
          <w:rPr>
            <w:rStyle w:val="Hyperlink"/>
            <w:sz w:val="26"/>
            <w:szCs w:val="26"/>
            <w:lang w:val="ru-RU"/>
          </w:rPr>
          <w:t>https://www.tks.ru/news/law/2026/09/28/0004/ob-ustanovlenii-eksperimentalnogo-pravovogo-rezhima-v-sfere-tsifrovyih-i-tehnologicheskih-innovatsij-i-utverzhdenii-programmyi-eksperimentalnogo-pravovogo-rezhima-v-sfere-tsifrovyih-i-tehnologicheskih-innovatsij-po-predostavleniyu-transportnyih-i-log/</w:t>
        </w:r>
      </w:hyperlink>
    </w:p>
    <w:p>
      <w:pPr>
        <w:pStyle w:val="BodyText"/>
        <w:numPr>
          <w:ilvl w:val="0"/>
          <w:numId w:val="8"/>
        </w:numPr>
        <w:jc w:val="both"/>
        <w:rPr>
          <w:lang w:val="ru-RU"/>
        </w:rPr>
      </w:pPr>
      <w:r>
        <w:rPr>
          <w:sz w:val="26"/>
          <w:szCs w:val="26"/>
          <w:lang w:val="ru-RU"/>
        </w:rPr>
        <w:t xml:space="preserve">Федеральный закон от 31.07.2020 № 258-ФЗ «Об экспериментальных правовых режимах в сфере цифровых и технологических инноваций в Российской Федерации». URL: </w:t>
      </w:r>
      <w:hyperlink r:id="rId21">
        <w:r>
          <w:rPr>
            <w:rStyle w:val="Hyperlink"/>
            <w:sz w:val="26"/>
            <w:szCs w:val="26"/>
            <w:lang w:val="ru-RU"/>
          </w:rPr>
          <w:t>https://www.consultant.ru/document/cons_doc_LAW_358738/</w:t>
        </w:r>
      </w:hyperlink>
    </w:p>
    <w:p>
      <w:pPr>
        <w:pStyle w:val="BodyText"/>
        <w:numPr>
          <w:ilvl w:val="0"/>
          <w:numId w:val="8"/>
        </w:numPr>
        <w:jc w:val="both"/>
        <w:rPr>
          <w:lang w:val="ru-RU"/>
        </w:rPr>
      </w:pPr>
      <w:r>
        <w:rPr>
          <w:sz w:val="26"/>
          <w:szCs w:val="26"/>
          <w:lang w:val="ru-RU"/>
        </w:rPr>
        <w:t xml:space="preserve">Технический регламент Таможенного союза ТР ТС 010/2011 «О безопасности машин и оборудования». URL: </w:t>
      </w:r>
      <w:hyperlink r:id="rId22">
        <w:r>
          <w:rPr>
            <w:rStyle w:val="Hyperlink"/>
            <w:sz w:val="26"/>
            <w:szCs w:val="26"/>
            <w:lang w:val="ru-RU"/>
          </w:rPr>
          <w:t>https://base.safework.ru/law?doc=&amp;nd=33300435&amp;nh=0&amp;ssect=0</w:t>
        </w:r>
      </w:hyperlink>
    </w:p>
    <w:p>
      <w:pPr>
        <w:pStyle w:val="BodyText"/>
        <w:numPr>
          <w:ilvl w:val="0"/>
          <w:numId w:val="8"/>
        </w:numPr>
        <w:jc w:val="both"/>
        <w:rPr>
          <w:lang w:val="ru-RU"/>
        </w:rPr>
      </w:pPr>
      <w:r>
        <w:rPr>
          <w:sz w:val="26"/>
          <w:szCs w:val="26"/>
          <w:lang w:val="ru-RU"/>
        </w:rPr>
        <w:t xml:space="preserve">Трудовой кодекс Российской Федерации от 30.12.2001 № 197-ФЗ. Статья 214 «Обязанности работодателя в области охраны труда». URL: </w:t>
      </w:r>
      <w:hyperlink r:id="rId23">
        <w:r>
          <w:rPr>
            <w:rStyle w:val="Hyperlink"/>
            <w:sz w:val="26"/>
            <w:szCs w:val="26"/>
            <w:lang w:val="ru-RU"/>
          </w:rPr>
          <w:t>https://www.consultant.ru/document/cons_doc_LAW_34683/</w:t>
        </w:r>
      </w:hyperlink>
    </w:p>
    <w:p>
      <w:pPr>
        <w:pStyle w:val="BodyText"/>
        <w:numPr>
          <w:ilvl w:val="0"/>
          <w:numId w:val="8"/>
        </w:numPr>
        <w:jc w:val="both"/>
        <w:rPr>
          <w:lang w:val="ru-RU"/>
        </w:rPr>
      </w:pPr>
      <w:r>
        <w:rPr>
          <w:sz w:val="26"/>
          <w:szCs w:val="26"/>
          <w:lang w:val="ru-RU"/>
        </w:rPr>
        <w:t xml:space="preserve">ГОСТ Р 60.6.2.2-2025 «Роботы и робототехнические устройства. Транспортные логистические роботы. Требования безопасности и методы оценки соответствия». URL: </w:t>
      </w:r>
      <w:hyperlink r:id="rId24">
        <w:r>
          <w:rPr>
            <w:rStyle w:val="Hyperlink"/>
            <w:sz w:val="26"/>
            <w:szCs w:val="26"/>
            <w:lang w:val="ru-RU"/>
          </w:rPr>
          <w:t>https://protect.gost.ru/gost/details/c550657e-5856-41fc-9cf5-cc17b78e8ed2</w:t>
        </w:r>
      </w:hyperlink>
    </w:p>
    <w:p>
      <w:pPr>
        <w:pStyle w:val="BodyText"/>
        <w:numPr>
          <w:ilvl w:val="0"/>
          <w:numId w:val="8"/>
        </w:numPr>
        <w:jc w:val="both"/>
        <w:rPr>
          <w:lang w:val="ru-RU"/>
        </w:rPr>
      </w:pPr>
      <w:r>
        <w:rPr>
          <w:sz w:val="26"/>
          <w:szCs w:val="26"/>
          <w:lang w:val="ru-RU"/>
        </w:rPr>
        <w:t xml:space="preserve">Федеральный закон от 27.07.2006 № 149-ФЗ «Об информации, информационных технологиях и о защите информации». URL: </w:t>
      </w:r>
      <w:hyperlink r:id="rId25">
        <w:r>
          <w:rPr>
            <w:rStyle w:val="Hyperlink"/>
            <w:sz w:val="26"/>
            <w:szCs w:val="26"/>
            <w:lang w:val="ru-RU"/>
          </w:rPr>
          <w:t>https://www.consultant.ru/document/cons_doc_LAW_61798/</w:t>
        </w:r>
      </w:hyperlink>
    </w:p>
    <w:p>
      <w:pPr>
        <w:pStyle w:val="BodyText"/>
        <w:numPr>
          <w:ilvl w:val="0"/>
          <w:numId w:val="8"/>
        </w:numPr>
        <w:jc w:val="both"/>
        <w:rPr>
          <w:lang w:val="ru-RU"/>
        </w:rPr>
      </w:pPr>
      <w:r>
        <w:rPr>
          <w:sz w:val="26"/>
          <w:szCs w:val="26"/>
          <w:lang w:val="ru-RU"/>
        </w:rPr>
        <w:t xml:space="preserve">Федеральный закон от 27.07.2006 № 152-ФЗ «О персональных данных». URL: </w:t>
      </w:r>
      <w:hyperlink r:id="rId26">
        <w:r>
          <w:rPr>
            <w:rStyle w:val="Hyperlink"/>
            <w:sz w:val="26"/>
            <w:szCs w:val="26"/>
            <w:lang w:val="ru-RU"/>
          </w:rPr>
          <w:t>https://www.consultant.ru/document/cons_doc_LAW_61801/</w:t>
        </w:r>
      </w:hyperlink>
    </w:p>
    <w:p>
      <w:pPr>
        <w:pStyle w:val="BodyText"/>
        <w:numPr>
          <w:ilvl w:val="0"/>
          <w:numId w:val="8"/>
        </w:numPr>
        <w:jc w:val="both"/>
        <w:rPr>
          <w:lang w:val="ru-RU"/>
        </w:rPr>
      </w:pPr>
      <w:r>
        <w:rPr>
          <w:sz w:val="26"/>
          <w:szCs w:val="26"/>
          <w:lang w:val="ru-RU"/>
        </w:rPr>
        <w:t xml:space="preserve">Федеральный закон от 29.07.2004 № 98-ФЗ «О коммерческой тайне». URL: </w:t>
      </w:r>
      <w:hyperlink r:id="rId27">
        <w:r>
          <w:rPr>
            <w:rStyle w:val="Hyperlink"/>
            <w:sz w:val="26"/>
            <w:szCs w:val="26"/>
            <w:lang w:val="ru-RU"/>
          </w:rPr>
          <w:t>https://www.consultant.ru/document/cons_doc_LAW_48699/</w:t>
        </w:r>
      </w:hyperlink>
    </w:p>
    <w:p>
      <w:pPr>
        <w:pStyle w:val="BodyText"/>
        <w:numPr>
          <w:ilvl w:val="0"/>
          <w:numId w:val="8"/>
        </w:numPr>
        <w:jc w:val="both"/>
        <w:rPr>
          <w:lang w:val="ru-RU"/>
        </w:rPr>
      </w:pPr>
      <w:r>
        <w:rPr>
          <w:sz w:val="26"/>
          <w:szCs w:val="26"/>
          <w:lang w:val="ru-RU"/>
        </w:rPr>
        <w:t xml:space="preserve">Патент RU2800529C1 «Мобильный робот и способ управления мобильным роботом». Правообладатель — ООО «Яндекс Беспилотные Технологии». URL: </w:t>
      </w:r>
      <w:hyperlink r:id="rId28">
        <w:r>
          <w:rPr>
            <w:rStyle w:val="Hyperlink"/>
            <w:sz w:val="26"/>
            <w:szCs w:val="26"/>
            <w:lang w:val="ru-RU"/>
          </w:rPr>
          <w:t>https://rospatent.gov.ru/ru/news/patent-nedeli-04082023</w:t>
        </w:r>
      </w:hyperlink>
    </w:p>
    <w:p>
      <w:pPr>
        <w:pStyle w:val="BodyText"/>
        <w:numPr>
          <w:ilvl w:val="0"/>
          <w:numId w:val="8"/>
        </w:numPr>
        <w:jc w:val="both"/>
        <w:rPr>
          <w:lang w:val="ru-RU"/>
        </w:rPr>
      </w:pPr>
      <w:r>
        <w:rPr>
          <w:sz w:val="26"/>
          <w:szCs w:val="26"/>
          <w:lang w:val="ru-RU"/>
        </w:rPr>
        <w:t xml:space="preserve">Патент RU2851809C2 «Способ и система доставки товара пользователю». URL: </w:t>
      </w:r>
      <w:hyperlink r:id="rId29">
        <w:r>
          <w:rPr>
            <w:rStyle w:val="Hyperlink"/>
            <w:sz w:val="26"/>
            <w:szCs w:val="26"/>
            <w:lang w:val="ru-RU"/>
          </w:rPr>
          <w:t>https://patents.google.com/patent/RU2851809C2/ru</w:t>
        </w:r>
      </w:hyperlink>
    </w:p>
    <w:p>
      <w:pPr>
        <w:pStyle w:val="BodyText"/>
        <w:numPr>
          <w:ilvl w:val="0"/>
          <w:numId w:val="8"/>
        </w:numPr>
        <w:jc w:val="both"/>
        <w:rPr>
          <w:lang w:val="ru-RU"/>
        </w:rPr>
      </w:pPr>
      <w:r>
        <w:rPr>
          <w:sz w:val="26"/>
          <w:szCs w:val="26"/>
          <w:lang w:val="ru-RU"/>
        </w:rPr>
        <w:t xml:space="preserve">Патент RU2787547C1 «Роботизированный мобильный курьерский комплекс». URL: </w:t>
      </w:r>
      <w:hyperlink r:id="rId30">
        <w:r>
          <w:rPr>
            <w:rStyle w:val="Hyperlink"/>
            <w:sz w:val="26"/>
            <w:szCs w:val="26"/>
            <w:lang w:val="ru-RU"/>
          </w:rPr>
          <w:t>https://patents.google.com/patent/RU2787547C1/ru</w:t>
        </w:r>
      </w:hyperlink>
    </w:p>
    <w:p>
      <w:pPr>
        <w:pStyle w:val="BodyText"/>
        <w:ind w:hanging="0" w:start="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BodyText"/>
        <w:ind w:hanging="0" w:start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BodyText"/>
        <w:ind w:hanging="0" w:start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BodyText"/>
        <w:ind w:hanging="0" w:start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BodyText"/>
        <w:ind w:hanging="0" w:start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BodyText"/>
        <w:ind w:hanging="0" w:start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BodyText"/>
        <w:ind w:hanging="0" w:start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BodyText"/>
        <w:ind w:hanging="0" w:start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BodyText"/>
        <w:ind w:hanging="0" w:start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BodyText"/>
        <w:ind w:hanging="0" w:start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BodyText"/>
        <w:ind w:hanging="0" w:start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BodyText"/>
        <w:ind w:hanging="0" w:start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BodyText"/>
        <w:ind w:hanging="0" w:start="0"/>
        <w:jc w:val="both"/>
        <w:rPr/>
      </w:pPr>
      <w:r>
        <w:rPr>
          <w:lang w:val="ru-RU"/>
        </w:rPr>
        <w:t xml:space="preserve">Приложение А - </w:t>
      </w:r>
      <w:r>
        <w:rPr>
          <w:rFonts w:ascii="Helvetica" w:hAnsi="Helvetica"/>
          <w:b w:val="false"/>
          <w:bCs w:val="false"/>
          <w:i w:val="false"/>
          <w:caps w:val="false"/>
          <w:smallCaps w:val="false"/>
          <w:color w:val="000000"/>
          <w:spacing w:val="0"/>
          <w:sz w:val="27"/>
        </w:rPr>
        <w:t>BPMN 2.0 - AS-IS: подключение корпоративного партнёра</w:t>
      </w:r>
    </w:p>
    <w:p>
      <w:pPr>
        <w:pStyle w:val="BodyText"/>
        <w:ind w:hanging="0" w:start="0"/>
        <w:jc w:val="both"/>
        <w:rPr>
          <w:rFonts w:ascii="Helvetica" w:hAnsi="Helvetica"/>
          <w:b w:val="false"/>
          <w:bCs w:val="false"/>
          <w:i w:val="false"/>
          <w:caps w:val="false"/>
          <w:smallCaps w:val="false"/>
          <w:color w:val="000000"/>
          <w:spacing w:val="0"/>
          <w:sz w:val="27"/>
        </w:rPr>
      </w:pPr>
      <w:r>
        <w:rPr>
          <w:rFonts w:ascii="Helvetica" w:hAnsi="Helvetica"/>
          <w:b w:val="false"/>
          <w:bCs w:val="false"/>
          <w:i w:val="false"/>
          <w:caps w:val="false"/>
          <w:smallCaps w:val="false"/>
          <w:color w:val="000000"/>
          <w:spacing w:val="0"/>
          <w:sz w:val="27"/>
        </w:rPr>
      </w:r>
    </w:p>
    <w:p>
      <w:pPr>
        <w:pStyle w:val="BodyText"/>
        <w:ind w:hanging="0" w:start="0"/>
        <w:jc w:val="both"/>
        <w:rPr>
          <w:rFonts w:ascii="Helvetica" w:hAnsi="Helvetica"/>
          <w:b w:val="false"/>
          <w:bCs w:val="false"/>
          <w:i w:val="false"/>
          <w:caps w:val="false"/>
          <w:smallCaps w:val="false"/>
          <w:color w:val="000000"/>
          <w:spacing w:val="0"/>
          <w:sz w:val="27"/>
        </w:rPr>
      </w:pPr>
      <w: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-1005840</wp:posOffset>
            </wp:positionH>
            <wp:positionV relativeFrom="paragraph">
              <wp:posOffset>-33020</wp:posOffset>
            </wp:positionV>
            <wp:extent cx="7436485" cy="3158490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6485" cy="3158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Helvetica" w:hAnsi="Helvetica"/>
          <w:b w:val="false"/>
          <w:bCs w:val="false"/>
          <w:i w:val="false"/>
          <w:caps w:val="false"/>
          <w:smallCaps w:val="false"/>
          <w:color w:val="000000"/>
          <w:spacing w:val="0"/>
          <w:sz w:val="27"/>
        </w:rPr>
        <w:t>.</w:t>
      </w:r>
    </w:p>
    <w:p>
      <w:pPr>
        <w:pStyle w:val="BodyText"/>
        <w:ind w:hanging="0" w:start="0"/>
        <w:jc w:val="both"/>
        <w:rPr>
          <w:rFonts w:ascii="Helvetica" w:hAnsi="Helvetica"/>
          <w:b w:val="false"/>
          <w:bCs w:val="false"/>
          <w:i w:val="false"/>
          <w:caps w:val="false"/>
          <w:smallCaps w:val="false"/>
          <w:color w:val="000000"/>
          <w:spacing w:val="0"/>
          <w:sz w:val="27"/>
        </w:rPr>
      </w:pPr>
      <w:r>
        <w:rPr>
          <w:rFonts w:ascii="Helvetica" w:hAnsi="Helvetica"/>
          <w:b w:val="false"/>
          <w:bCs w:val="false"/>
          <w:i w:val="false"/>
          <w:caps w:val="false"/>
          <w:smallCaps w:val="false"/>
          <w:color w:val="000000"/>
          <w:spacing w:val="0"/>
          <w:sz w:val="27"/>
        </w:rPr>
      </w:r>
    </w:p>
    <w:p>
      <w:pPr>
        <w:pStyle w:val="BodyText"/>
        <w:ind w:hanging="0" w:start="0"/>
        <w:jc w:val="both"/>
        <w:rPr>
          <w:rFonts w:ascii="Helvetica" w:hAnsi="Helvetica"/>
          <w:b w:val="false"/>
          <w:bCs w:val="false"/>
          <w:i w:val="false"/>
          <w:caps w:val="false"/>
          <w:smallCaps w:val="false"/>
          <w:color w:val="000000"/>
          <w:spacing w:val="0"/>
          <w:sz w:val="27"/>
        </w:rPr>
      </w:pPr>
      <w:r>
        <w:rPr>
          <w:rFonts w:ascii="Helvetica" w:hAnsi="Helvetica"/>
          <w:b w:val="false"/>
          <w:bCs w:val="false"/>
          <w:i w:val="false"/>
          <w:caps w:val="false"/>
          <w:smallCaps w:val="false"/>
          <w:color w:val="000000"/>
          <w:spacing w:val="0"/>
          <w:sz w:val="27"/>
        </w:rPr>
      </w:r>
    </w:p>
    <w:p>
      <w:pPr>
        <w:pStyle w:val="BodyText"/>
        <w:ind w:hanging="0" w:start="0"/>
        <w:jc w:val="both"/>
        <w:rPr>
          <w:rFonts w:ascii="Helvetica" w:hAnsi="Helvetica"/>
          <w:b w:val="false"/>
          <w:bCs w:val="false"/>
          <w:i w:val="false"/>
          <w:caps w:val="false"/>
          <w:smallCaps w:val="false"/>
          <w:color w:val="000000"/>
          <w:spacing w:val="0"/>
          <w:sz w:val="27"/>
        </w:rPr>
      </w:pPr>
      <w:r>
        <w:rPr>
          <w:rFonts w:ascii="Helvetica" w:hAnsi="Helvetica"/>
          <w:b w:val="false"/>
          <w:bCs w:val="false"/>
          <w:i w:val="false"/>
          <w:caps w:val="false"/>
          <w:smallCaps w:val="false"/>
          <w:color w:val="000000"/>
          <w:spacing w:val="0"/>
          <w:sz w:val="27"/>
        </w:rPr>
      </w:r>
    </w:p>
    <w:p>
      <w:pPr>
        <w:pStyle w:val="BodyText"/>
        <w:ind w:hanging="0" w:start="0"/>
        <w:jc w:val="both"/>
        <w:rPr>
          <w:rFonts w:ascii="Helvetica" w:hAnsi="Helvetica"/>
          <w:b w:val="false"/>
          <w:bCs w:val="false"/>
          <w:i w:val="false"/>
          <w:caps w:val="false"/>
          <w:smallCaps w:val="false"/>
          <w:color w:val="000000"/>
          <w:spacing w:val="0"/>
          <w:sz w:val="27"/>
        </w:rPr>
      </w:pPr>
      <w:r>
        <w:rPr>
          <w:rFonts w:ascii="Helvetica" w:hAnsi="Helvetica"/>
          <w:b w:val="false"/>
          <w:bCs w:val="false"/>
          <w:i w:val="false"/>
          <w:caps w:val="false"/>
          <w:smallCaps w:val="false"/>
          <w:color w:val="000000"/>
          <w:spacing w:val="0"/>
          <w:sz w:val="27"/>
        </w:rPr>
      </w:r>
    </w:p>
    <w:p>
      <w:pPr>
        <w:pStyle w:val="BodyText"/>
        <w:ind w:hanging="0" w:start="0"/>
        <w:jc w:val="both"/>
        <w:rPr>
          <w:rFonts w:ascii="Helvetica" w:hAnsi="Helvetica"/>
          <w:b w:val="false"/>
          <w:bCs w:val="false"/>
          <w:i w:val="false"/>
          <w:caps w:val="false"/>
          <w:smallCaps w:val="false"/>
          <w:color w:val="000000"/>
          <w:spacing w:val="0"/>
          <w:sz w:val="27"/>
        </w:rPr>
      </w:pPr>
      <w:r>
        <w:rPr>
          <w:rFonts w:ascii="Helvetica" w:hAnsi="Helvetica"/>
          <w:b w:val="false"/>
          <w:bCs w:val="false"/>
          <w:i w:val="false"/>
          <w:caps w:val="false"/>
          <w:smallCaps w:val="false"/>
          <w:color w:val="000000"/>
          <w:spacing w:val="0"/>
          <w:sz w:val="27"/>
        </w:rPr>
      </w:r>
    </w:p>
    <w:p>
      <w:pPr>
        <w:pStyle w:val="BodyText"/>
        <w:ind w:hanging="0" w:start="0"/>
        <w:jc w:val="both"/>
        <w:rPr>
          <w:rFonts w:ascii="Helvetica" w:hAnsi="Helvetica"/>
          <w:b w:val="false"/>
          <w:bCs w:val="false"/>
          <w:i w:val="false"/>
          <w:caps w:val="false"/>
          <w:smallCaps w:val="false"/>
          <w:color w:val="000000"/>
          <w:spacing w:val="0"/>
          <w:sz w:val="27"/>
        </w:rPr>
      </w:pPr>
      <w:r>
        <w:rPr>
          <w:rFonts w:ascii="Helvetica" w:hAnsi="Helvetica"/>
          <w:b w:val="false"/>
          <w:bCs w:val="false"/>
          <w:i w:val="false"/>
          <w:caps w:val="false"/>
          <w:smallCaps w:val="false"/>
          <w:color w:val="000000"/>
          <w:spacing w:val="0"/>
          <w:sz w:val="27"/>
        </w:rPr>
      </w:r>
    </w:p>
    <w:p>
      <w:pPr>
        <w:pStyle w:val="BodyText"/>
        <w:ind w:hanging="0" w:start="0"/>
        <w:jc w:val="both"/>
        <w:rPr>
          <w:rFonts w:ascii="Helvetica" w:hAnsi="Helvetica"/>
          <w:b w:val="false"/>
          <w:bCs w:val="false"/>
          <w:i w:val="false"/>
          <w:caps w:val="false"/>
          <w:smallCaps w:val="false"/>
          <w:color w:val="000000"/>
          <w:spacing w:val="0"/>
          <w:sz w:val="27"/>
        </w:rPr>
      </w:pPr>
      <w:r>
        <w:rPr>
          <w:rFonts w:ascii="Helvetica" w:hAnsi="Helvetica"/>
          <w:b w:val="false"/>
          <w:bCs w:val="false"/>
          <w:i w:val="false"/>
          <w:caps w:val="false"/>
          <w:smallCaps w:val="false"/>
          <w:color w:val="000000"/>
          <w:spacing w:val="0"/>
          <w:sz w:val="27"/>
        </w:rPr>
        <w:t>Приложение B – Оргструктура подразделения Казань-север:</w:t>
      </w:r>
    </w:p>
    <w:p>
      <w:pPr>
        <w:pStyle w:val="BodyText"/>
        <w:ind w:hanging="0" w:start="0"/>
        <w:jc w:val="both"/>
        <w:rPr>
          <w:rFonts w:ascii="Helvetica" w:hAnsi="Helvetica"/>
          <w:b w:val="false"/>
          <w:bCs w:val="false"/>
          <w:i w:val="false"/>
          <w:caps w:val="false"/>
          <w:smallCaps w:val="false"/>
          <w:color w:val="000000"/>
          <w:spacing w:val="0"/>
          <w:sz w:val="27"/>
        </w:rPr>
      </w:pPr>
      <w:r>
        <w:drawing>
          <wp:anchor distT="0" distB="0" distL="0" distR="0" simplePos="0" relativeHeight="3" behindDoc="0" locked="0" layoutInCell="0" allowOverlap="1">
            <wp:simplePos x="0" y="0"/>
            <wp:positionH relativeFrom="column">
              <wp:posOffset>-1009015</wp:posOffset>
            </wp:positionH>
            <wp:positionV relativeFrom="paragraph">
              <wp:posOffset>635</wp:posOffset>
            </wp:positionV>
            <wp:extent cx="7423150" cy="3453130"/>
            <wp:effectExtent l="0" t="0" r="0" b="0"/>
            <wp:wrapSquare wrapText="largest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3150" cy="3453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Helvetica" w:hAnsi="Helvetica"/>
          <w:b w:val="false"/>
          <w:bCs w:val="false"/>
          <w:i w:val="false"/>
          <w:caps w:val="false"/>
          <w:smallCaps w:val="false"/>
          <w:color w:val="000000"/>
          <w:spacing w:val="0"/>
          <w:sz w:val="27"/>
        </w:rPr>
        <w:t>.</w:t>
      </w:r>
    </w:p>
    <w:p>
      <w:pPr>
        <w:pStyle w:val="BodyText"/>
        <w:ind w:hanging="0" w:start="0"/>
        <w:jc w:val="both"/>
        <w:rPr>
          <w:rFonts w:ascii="Helvetica" w:hAnsi="Helvetica"/>
          <w:b w:val="false"/>
          <w:bCs w:val="false"/>
          <w:i w:val="false"/>
          <w:caps w:val="false"/>
          <w:smallCaps w:val="false"/>
          <w:color w:val="000000"/>
          <w:spacing w:val="0"/>
          <w:sz w:val="27"/>
        </w:rPr>
      </w:pPr>
      <w:r>
        <w:rPr>
          <w:rFonts w:ascii="Helvetica" w:hAnsi="Helvetica"/>
          <w:b w:val="false"/>
          <w:bCs w:val="false"/>
          <w:i w:val="false"/>
          <w:caps w:val="false"/>
          <w:smallCaps w:val="false"/>
          <w:color w:val="000000"/>
          <w:spacing w:val="0"/>
          <w:sz w:val="27"/>
        </w:rPr>
      </w:r>
    </w:p>
    <w:p>
      <w:pPr>
        <w:pStyle w:val="BodyText"/>
        <w:ind w:hanging="0" w:start="0"/>
        <w:jc w:val="both"/>
        <w:rPr>
          <w:rFonts w:ascii="Helvetica" w:hAnsi="Helvetica"/>
          <w:b w:val="false"/>
          <w:bCs w:val="false"/>
          <w:i w:val="false"/>
          <w:caps w:val="false"/>
          <w:smallCaps w:val="false"/>
          <w:color w:val="000000"/>
          <w:spacing w:val="0"/>
          <w:sz w:val="27"/>
        </w:rPr>
      </w:pPr>
      <w:r>
        <w:rPr>
          <w:rFonts w:ascii="Helvetica" w:hAnsi="Helvetica"/>
          <w:b w:val="false"/>
          <w:bCs w:val="false"/>
          <w:i w:val="false"/>
          <w:caps w:val="false"/>
          <w:smallCaps w:val="false"/>
          <w:color w:val="000000"/>
          <w:spacing w:val="0"/>
          <w:sz w:val="27"/>
        </w:rPr>
        <w:t>Приложение C – Дерево целей</w:t>
      </w:r>
    </w:p>
    <w:p>
      <w:pPr>
        <w:pStyle w:val="BodyText"/>
        <w:spacing w:before="0" w:after="120"/>
        <w:ind w:hanging="0" w:start="0"/>
        <w:jc w:val="both"/>
        <w:rPr>
          <w:rFonts w:ascii="Helvetica" w:hAnsi="Helvetica"/>
          <w:b w:val="false"/>
          <w:bCs w:val="false"/>
          <w:i w:val="false"/>
          <w:caps w:val="false"/>
          <w:smallCaps w:val="false"/>
          <w:color w:val="000000"/>
          <w:spacing w:val="0"/>
          <w:sz w:val="27"/>
        </w:rPr>
      </w:pPr>
      <w:r>
        <w:rPr>
          <w:rFonts w:ascii="Helvetica" w:hAnsi="Helvetica"/>
          <w:b w:val="false"/>
          <w:bCs w:val="false"/>
          <w:i w:val="false"/>
          <w:caps w:val="false"/>
          <w:smallCaps w:val="false"/>
          <w:color w:val="000000"/>
          <w:spacing w:val="0"/>
          <w:sz w:val="27"/>
        </w:rP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-927100</wp:posOffset>
            </wp:positionH>
            <wp:positionV relativeFrom="paragraph">
              <wp:posOffset>81915</wp:posOffset>
            </wp:positionV>
            <wp:extent cx="7234555" cy="2773680"/>
            <wp:effectExtent l="0" t="0" r="0" b="0"/>
            <wp:wrapSquare wrapText="largest"/>
            <wp:docPr id="3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4555" cy="2773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headerReference w:type="even" r:id="rId34"/>
      <w:headerReference w:type="default" r:id="rId35"/>
      <w:headerReference w:type="first" r:id="rId36"/>
      <w:footerReference w:type="even" r:id="rId37"/>
      <w:footerReference w:type="default" r:id="rId38"/>
      <w:footerReference w:type="first" r:id="rId39"/>
      <w:type w:val="nextPage"/>
      <w:pgSz w:w="11906" w:h="16838"/>
      <w:pgMar w:left="1701" w:right="850" w:gutter="0" w:header="454" w:top="1134" w:footer="454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Courier">
    <w:altName w:val="Courier New"/>
    <w:charset w:val="01" w:characterSet="utf-8"/>
    <w:family w:val="roman"/>
    <w:pitch w:val="variable"/>
  </w:font>
  <w:font w:name="OpenSymbol">
    <w:altName w:val="Arial Unicode MS"/>
    <w:charset w:val="0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 w:characterSet="utf-8"/>
    <w:family w:val="swiss"/>
    <w:pitch w:val="variable"/>
  </w:font>
  <w:font w:name="Times New Roman">
    <w:charset w:val="01"/>
    <w:family w:val="roman"/>
    <w:pitch w:val="default"/>
  </w:font>
  <w:font w:name="Helvetica">
    <w:altName w:val="Arial"/>
    <w:charset w:val="01" w:characterSet="utf-8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color w:val="505D69"/>
        <w:sz w:val="17"/>
      </w:rPr>
      <w:t xml:space="preserve">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29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color w:val="505D69"/>
        <w:sz w:val="17"/>
      </w:rPr>
      <w:t xml:space="preserve">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29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/>
    </w:pPr>
    <w:r>
      <w:rPr>
        <w:color w:val="505D69"/>
        <w:sz w:val="17"/>
      </w:rPr>
      <w:t>АНАЛИТИЧЕСКИЙ ОТЧЁТ  |  Яндекс</w:t>
      <w:tab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/>
    </w:pPr>
    <w:r>
      <w:rPr>
        <w:color w:val="505D69"/>
        <w:sz w:val="17"/>
      </w:rPr>
      <w:t>АНАЛИТИЧЕСКИЙ ОТЧЁТ  |  Яндекс</w:t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8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9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16"/>
  <w:defaultTabStop w:val="72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336" w:before="0" w:after="100"/>
      <w:ind w:firstLine="709"/>
      <w:jc w:val="start"/>
    </w:pPr>
    <w:rPr>
      <w:rFonts w:ascii="Times New Roman" w:hAnsi="Times New Roman" w:eastAsia="ＭＳ 明朝" w:cs=""/>
      <w:color w:val="1B242C"/>
      <w:kern w:val="0"/>
      <w:sz w:val="26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fc693f"/>
    <w:pPr>
      <w:keepNext w:val="true"/>
      <w:keepLines/>
      <w:spacing w:before="320" w:after="160"/>
      <w:ind w:hanging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val="163044"/>
      <w:sz w:val="30"/>
      <w:szCs w:val="28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c693f"/>
    <w:pPr>
      <w:keepNext w:val="true"/>
      <w:keepLines/>
      <w:spacing w:before="200" w:after="100"/>
      <w:ind w:hanging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val="163044"/>
      <w:sz w:val="27"/>
      <w:szCs w:val="26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fc693f"/>
    <w:pPr>
      <w:keepNext w:val="true"/>
      <w:keepLines/>
      <w:spacing w:before="200" w:after="100"/>
      <w:ind w:hanging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val="163044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Верхний колонтитул Знак"/>
    <w:basedOn w:val="DefaultParagraphFont"/>
    <w:link w:val="Header"/>
    <w:uiPriority w:val="99"/>
    <w:qFormat/>
    <w:rsid w:val="00e618bf"/>
    <w:rPr/>
  </w:style>
  <w:style w:type="character" w:styleId="Style6" w:customStyle="1">
    <w:name w:val="Нижний колонтитул Знак"/>
    <w:basedOn w:val="DefaultParagraphFont"/>
    <w:link w:val="Footer"/>
    <w:uiPriority w:val="99"/>
    <w:qFormat/>
    <w:rsid w:val="00e618bf"/>
    <w:rPr/>
  </w:style>
  <w:style w:type="character" w:styleId="1" w:customStyle="1">
    <w:name w:val="Заголовок 1 Знак"/>
    <w:basedOn w:val="DefaultParagraphFont"/>
    <w:link w:val="Heading1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2" w:customStyle="1">
    <w:name w:val="Заголовок 2 Знак"/>
    <w:basedOn w:val="DefaultParagraphFont"/>
    <w:link w:val="Heading2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3" w:customStyle="1">
    <w:name w:val="Заголовок 3 Знак"/>
    <w:basedOn w:val="DefaultParagraphFont"/>
    <w:link w:val="Heading3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Style7" w:customStyle="1">
    <w:name w:val="Заголовок Знак"/>
    <w:basedOn w:val="DefaultParagraphFont"/>
    <w:link w:val="Title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tyle8" w:customStyle="1">
    <w:name w:val="Подзаголовок Знак"/>
    <w:basedOn w:val="DefaultParagraphFont"/>
    <w:link w:val="Subtitle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Style9" w:customStyle="1">
    <w:name w:val="Основной текст Знак"/>
    <w:basedOn w:val="DefaultParagraphFont"/>
    <w:uiPriority w:val="99"/>
    <w:qFormat/>
    <w:rsid w:val="00aa1d8d"/>
    <w:rPr/>
  </w:style>
  <w:style w:type="character" w:styleId="21" w:customStyle="1">
    <w:name w:val="Основной текст 2 Знак"/>
    <w:basedOn w:val="DefaultParagraphFont"/>
    <w:link w:val="BodyText2"/>
    <w:uiPriority w:val="99"/>
    <w:qFormat/>
    <w:rsid w:val="00aa1d8d"/>
    <w:rPr/>
  </w:style>
  <w:style w:type="character" w:styleId="31" w:customStyle="1">
    <w:name w:val="Основной текст 3 Знак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Style10" w:customStyle="1">
    <w:name w:val="Текст макроса Знак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22" w:customStyle="1">
    <w:name w:val="Цитата 2 Знак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4" w:customStyle="1">
    <w:name w:val="Заголовок 4 Знак"/>
    <w:basedOn w:val="DefaultParagraphFont"/>
    <w:link w:val="Heading4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5" w:customStyle="1">
    <w:name w:val="Заголовок 5 Знак"/>
    <w:basedOn w:val="DefaultParagraphFont"/>
    <w:link w:val="Heading5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6" w:customStyle="1">
    <w:name w:val="Заголовок 6 Знак"/>
    <w:basedOn w:val="DefaultParagraphFont"/>
    <w:link w:val="Heading6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7" w:customStyle="1">
    <w:name w:val="Заголовок 7 Знак"/>
    <w:basedOn w:val="DefaultParagraphFont"/>
    <w:link w:val="Heading7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8" w:customStyle="1">
    <w:name w:val="Заголовок 8 Знак"/>
    <w:basedOn w:val="DefaultParagraphFont"/>
    <w:link w:val="Heading8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9" w:customStyle="1">
    <w:name w:val="Заголовок 9 Знак"/>
    <w:basedOn w:val="DefaultParagraphFont"/>
    <w:link w:val="Heading9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Style11" w:customStyle="1">
    <w:name w:val="Выделенная цитата Знак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character" w:styleId="Bulletsuser">
    <w:name w:val="Bullets (user)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link w:val="Style9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1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5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6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Style7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tyle8"/>
    <w:uiPriority w:val="11"/>
    <w:qFormat/>
    <w:rsid w:val="00fc693f"/>
    <w:pPr>
      <w:ind w:firstLine="709"/>
    </w:pPr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00"/>
      <w:ind w:start="720"/>
      <w:contextualSpacing/>
    </w:pPr>
    <w:rPr/>
  </w:style>
  <w:style w:type="paragraph" w:styleId="BodyText2">
    <w:name w:val="Body Text 2"/>
    <w:basedOn w:val="Normal"/>
    <w:link w:val="21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31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1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1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1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1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1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1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1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1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Style10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star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22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Style11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Note" w:customStyle="1">
    <w:name w:val="Note"/>
    <w:qFormat/>
    <w:pPr>
      <w:widowControl/>
      <w:suppressAutoHyphens w:val="true"/>
      <w:bidi w:val="0"/>
      <w:spacing w:lineRule="auto" w:line="269" w:before="0" w:after="100"/>
      <w:jc w:val="start"/>
    </w:pPr>
    <w:rPr>
      <w:rFonts w:ascii="Times New Roman" w:hAnsi="Times New Roman" w:eastAsia="ＭＳ 明朝" w:cs=""/>
      <w:color w:val="505D69"/>
      <w:kern w:val="0"/>
      <w:sz w:val="21"/>
      <w:szCs w:val="22"/>
      <w:lang w:val="en-US" w:eastAsia="en-US" w:bidi="ar-SA"/>
    </w:rPr>
  </w:style>
  <w:style w:type="paragraph" w:styleId="Compact" w:customStyle="1">
    <w:name w:val="Compact"/>
    <w:qFormat/>
    <w:pPr>
      <w:widowControl/>
      <w:suppressAutoHyphens w:val="true"/>
      <w:bidi w:val="0"/>
      <w:spacing w:lineRule="auto" w:line="288" w:before="0" w:after="200"/>
      <w:ind w:firstLine="567"/>
      <w:jc w:val="start"/>
    </w:pPr>
    <w:rPr>
      <w:rFonts w:ascii="Times New Roman" w:hAnsi="Times New Roman" w:eastAsia="" w:cs="" w:cstheme="minorBidi" w:eastAsiaTheme="minorEastAsia"/>
      <w:color w:val="auto"/>
      <w:kern w:val="0"/>
      <w:sz w:val="23"/>
      <w:szCs w:val="22"/>
      <w:lang w:val="en-US" w:eastAsia="en-US" w:bidi="ar-SA"/>
    </w:rPr>
  </w:style>
  <w:style w:type="paragraph" w:styleId="Source" w:customStyle="1">
    <w:name w:val="Source"/>
    <w:qFormat/>
    <w:pPr>
      <w:widowControl/>
      <w:suppressAutoHyphens w:val="true"/>
      <w:bidi w:val="0"/>
      <w:spacing w:lineRule="auto" w:line="269" w:before="0" w:after="80"/>
      <w:ind w:hanging="312" w:start="312"/>
      <w:jc w:val="start"/>
    </w:pPr>
    <w:rPr>
      <w:rFonts w:ascii="Times New Roman" w:hAnsi="Times New Roman" w:eastAsia="" w:cs="" w:cstheme="minorBidi" w:eastAsiaTheme="minorEastAsia"/>
      <w:color w:val="auto"/>
      <w:kern w:val="0"/>
      <w:sz w:val="20"/>
      <w:szCs w:val="22"/>
      <w:lang w:val="en-US" w:eastAsia="en-US" w:bidi="ar-SA"/>
    </w:rPr>
  </w:style>
  <w:style w:type="paragraph" w:styleId="Tabletext" w:customStyle="1">
    <w:name w:val="Table text"/>
    <w:qFormat/>
    <w:pPr>
      <w:widowControl/>
      <w:suppressAutoHyphens w:val="true"/>
      <w:bidi w:val="0"/>
      <w:spacing w:lineRule="auto" w:line="269" w:before="0" w:after="0"/>
      <w:jc w:val="start"/>
    </w:pPr>
    <w:rPr>
      <w:rFonts w:ascii="Times New Roman" w:hAnsi="Times New Roman" w:eastAsia="" w:cs="" w:cstheme="minorBidi" w:eastAsiaTheme="minorEastAsia"/>
      <w:color w:val="auto"/>
      <w:kern w:val="0"/>
      <w:sz w:val="20"/>
      <w:szCs w:val="22"/>
      <w:lang w:val="en-US" w:eastAsia="en-US" w:bidi="ar-SA"/>
    </w:rPr>
  </w:style>
  <w:style w:type="paragraph" w:styleId="Captioncustom" w:customStyle="1">
    <w:name w:val="Caption custom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Times New Roman" w:hAnsi="Times New Roman" w:eastAsia="ＭＳ 明朝" w:cs=""/>
      <w:color w:val="505D69"/>
      <w:kern w:val="0"/>
      <w:sz w:val="22"/>
      <w:szCs w:val="22"/>
      <w:lang w:val="en-US" w:eastAsia="en-US" w:bidi="ar-SA"/>
    </w:rPr>
  </w:style>
  <w:style w:type="paragraph" w:styleId="Contents" w:customStyle="1">
    <w:name w:val="Contents"/>
    <w:qFormat/>
    <w:pPr>
      <w:widowControl/>
      <w:suppressAutoHyphens w:val="true"/>
      <w:bidi w:val="0"/>
      <w:spacing w:lineRule="auto" w:line="276" w:before="0" w:after="140"/>
      <w:jc w:val="start"/>
    </w:pPr>
    <w:rPr>
      <w:rFonts w:ascii="Times New Roman" w:hAnsi="Times New Roman" w:eastAsia="" w:cs="" w:cstheme="minorBidi" w:eastAsiaTheme="minorEastAsia"/>
      <w:color w:val="auto"/>
      <w:kern w:val="0"/>
      <w:sz w:val="24"/>
      <w:szCs w:val="22"/>
      <w:lang w:val="en-US" w:eastAsia="en-US" w:bidi="ar-SA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Comment">
    <w:name w:val="Comment"/>
    <w:basedOn w:val="Normal"/>
    <w:qFormat/>
    <w:pPr>
      <w:spacing w:lineRule="auto" w:line="240" w:before="56" w:after="0"/>
      <w:ind w:hanging="0" w:start="57" w:end="57"/>
    </w:pPr>
    <w:rPr>
      <w:color w:val="aut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tadviser.ru/index.php/&#1055;&#1088;&#1086;&#1076;&#1091;&#1082;&#1090;:&#1071;&#1085;&#1076;&#1077;&#1082;&#1089;.&#1056;&#1086;&#1074;&#1077;&#1088;" TargetMode="External"/><Relationship Id="rId3" Type="http://schemas.openxmlformats.org/officeDocument/2006/relationships/hyperlink" Target="https://www.kommersant.ru/doc/8608395" TargetMode="External"/><Relationship Id="rId4" Type="http://schemas.openxmlformats.org/officeDocument/2006/relationships/hyperlink" Target="https://www.tbank.ru/invest/social/profile/TrueProphet/e1047b71-a7f8-4f7a-8b0d-1b4ef93241da/" TargetMode="External"/><Relationship Id="rId5" Type="http://schemas.openxmlformats.org/officeDocument/2006/relationships/hyperlink" Target="https://alfabank.ru/alfa-investor/posts/t/9e361dfc-6163-f111-91c6-0050569e1fd0/" TargetMode="External"/><Relationship Id="rId6" Type="http://schemas.openxmlformats.org/officeDocument/2006/relationships/hyperlink" Target="https://habr.com/ru/companies/yandex/articles/845958/" TargetMode="External"/><Relationship Id="rId7" Type="http://schemas.openxmlformats.org/officeDocument/2006/relationships/hyperlink" Target="https://nplus1.ru/material/2023/12/26/yandex-delivery-robot" TargetMode="External"/><Relationship Id="rId8" Type="http://schemas.openxmlformats.org/officeDocument/2006/relationships/hyperlink" Target="https://ru.wikipedia.org/wiki/&#1071;&#1085;&#1076;&#1077;&#1082;&#1089;_&#1056;&#1086;&#1073;&#1086;&#1090;&#1080;&#1082;&#1089;" TargetMode="External"/><Relationship Id="rId9" Type="http://schemas.openxmlformats.org/officeDocument/2006/relationships/hyperlink" Target="https://russiasmartcity.ru/12-&#1090;&#1099;&#1089;-&#1088;&#1086;&#1073;&#1086;&#1090;&#1086;&#1074;-&#1074;-&#1088;&#1086;&#1089;&#1089;&#1080;&#1080;-&#1091;&#1090;&#1074;&#1077;&#1088;&#1076;&#1080;&#1083;&#1080;-&#1087;&#1088;&#1072;&#1074;&#1080;/" TargetMode="External"/><Relationship Id="rId10" Type="http://schemas.openxmlformats.org/officeDocument/2006/relationships/hyperlink" Target="https://www.kommersant.ru/doc/8989812" TargetMode="External"/><Relationship Id="rId11" Type="http://schemas.openxmlformats.org/officeDocument/2006/relationships/hyperlink" Target="https://www.cnews.ru/news/top/2026-09-30_pravitelstvo_rossii_utverdilo" TargetMode="External"/><Relationship Id="rId12" Type="http://schemas.openxmlformats.org/officeDocument/2006/relationships/hyperlink" Target="https://www.tadviser.ru/index.php/&#1055;&#1088;&#1086;&#1076;&#1091;&#1082;&#1090;:&#1071;&#1085;&#1076;&#1077;&#1082;&#1089;.&#1056;&#1086;&#1074;&#1077;&#1088;" TargetMode="External"/><Relationship Id="rId13" Type="http://schemas.openxmlformats.org/officeDocument/2006/relationships/hyperlink" Target="https://www.tbank.ru/invest/social/profile/Yandex/1d5729e9-b875-4df9-9463-cd46e6ad6c34/" TargetMode="External"/><Relationship Id="rId14" Type="http://schemas.openxmlformats.org/officeDocument/2006/relationships/hyperlink" Target="https://scanport.ru/blog/avtomatizacziya-dostavki-sovremennye-tehnologii-i-rol-mobilnyh-ustrojstv/" TargetMode="External"/><Relationship Id="rId15" Type="http://schemas.openxmlformats.org/officeDocument/2006/relationships/hyperlink" Target="https://ru.made-in-china.com/video-channel/reeman_KwPfrkScCxVH_Factory-Price-Delivery-Robot-Food-Delivery-Automatic-Charging-Autonomous-Navigation-Restaurant-Smart-Delivery-Robot.html" TargetMode="External"/><Relationship Id="rId16" Type="http://schemas.openxmlformats.org/officeDocument/2006/relationships/hyperlink" Target="https://autonomy.yandex.ru/products/robot" TargetMode="External"/><Relationship Id="rId17" Type="http://schemas.openxmlformats.org/officeDocument/2006/relationships/hyperlink" Target="https://russiasmartcity.ru/&#1074;-&#1088;&#1086;&#1089;&#1089;&#1080;&#1080;-&#1085;&#1072;&#1073;&#1080;&#1088;&#1072;&#1077;&#1090;-&#1086;&#1073;&#1086;&#1088;&#1086;&#1090;&#1099;-&#1088;&#1086;&#1073;&#1086;&#1090;&#1080;&#1079;&#1072;&#1094;&#1080;/" TargetMode="External"/><Relationship Id="rId18" Type="http://schemas.openxmlformats.org/officeDocument/2006/relationships/hyperlink" Target="https://www.forbes.ru/biznes/518380-roboty-andeksa-nacali-dostavlat-zakazy-iz-paterocki-i-perekrestka" TargetMode="External"/><Relationship Id="rId19" Type="http://schemas.openxmlformats.org/officeDocument/2006/relationships/hyperlink" Target="https://www.researchandmarkets.com/report/delivery-robot-market" TargetMode="External"/><Relationship Id="rId20" Type="http://schemas.openxmlformats.org/officeDocument/2006/relationships/hyperlink" Target="https://www.tks.ru/news/law/2026/09/28/0004/ob-ustanovlenii-eksperimentalnogo-pravovogo-rezhima-v-sfere-tsifrovyih-i-tehnologicheskih-innovatsij-i-utverzhdenii-programmyi-eksperimentalnogo-pravovogo-rezhima-v-sfere-tsifrovyih-i-tehnologicheskih-innovatsij-po-predostavleniyu-transportnyih-i-log/" TargetMode="External"/><Relationship Id="rId21" Type="http://schemas.openxmlformats.org/officeDocument/2006/relationships/hyperlink" Target="https://www.consultant.ru/document/cons_doc_LAW_358738/" TargetMode="External"/><Relationship Id="rId22" Type="http://schemas.openxmlformats.org/officeDocument/2006/relationships/hyperlink" Target="https://base.safework.ru/law?doc=&amp;nd=33300435&amp;nh=0&amp;ssect=0" TargetMode="External"/><Relationship Id="rId23" Type="http://schemas.openxmlformats.org/officeDocument/2006/relationships/hyperlink" Target="https://www.consultant.ru/document/cons_doc_LAW_34683/" TargetMode="External"/><Relationship Id="rId24" Type="http://schemas.openxmlformats.org/officeDocument/2006/relationships/hyperlink" Target="https://protect.gost.ru/gost/details/c550657e-5856-41fc-9cf5-cc17b78e8ed2" TargetMode="External"/><Relationship Id="rId25" Type="http://schemas.openxmlformats.org/officeDocument/2006/relationships/hyperlink" Target="https://www.consultant.ru/document/cons_doc_LAW_61798/" TargetMode="External"/><Relationship Id="rId26" Type="http://schemas.openxmlformats.org/officeDocument/2006/relationships/hyperlink" Target="https://www.consultant.ru/document/cons_doc_LAW_61801/" TargetMode="External"/><Relationship Id="rId27" Type="http://schemas.openxmlformats.org/officeDocument/2006/relationships/hyperlink" Target="https://www.consultant.ru/document/cons_doc_LAW_48699/" TargetMode="External"/><Relationship Id="rId28" Type="http://schemas.openxmlformats.org/officeDocument/2006/relationships/hyperlink" Target="https://rospatent.gov.ru/ru/news/patent-nedeli-04082023" TargetMode="External"/><Relationship Id="rId29" Type="http://schemas.openxmlformats.org/officeDocument/2006/relationships/hyperlink" Target="https://patents.google.com/patent/RU2851809C2/ru" TargetMode="External"/><Relationship Id="rId30" Type="http://schemas.openxmlformats.org/officeDocument/2006/relationships/hyperlink" Target="https://patents.google.com/patent/RU2787547C1/ru" TargetMode="External"/><Relationship Id="rId31" Type="http://schemas.openxmlformats.org/officeDocument/2006/relationships/image" Target="media/image1.png"/><Relationship Id="rId32" Type="http://schemas.openxmlformats.org/officeDocument/2006/relationships/image" Target="media/image2.png"/><Relationship Id="rId33" Type="http://schemas.openxmlformats.org/officeDocument/2006/relationships/image" Target="media/image3.png"/><Relationship Id="rId34" Type="http://schemas.openxmlformats.org/officeDocument/2006/relationships/header" Target="header1.xml"/><Relationship Id="rId35" Type="http://schemas.openxmlformats.org/officeDocument/2006/relationships/header" Target="header2.xml"/><Relationship Id="rId36" Type="http://schemas.openxmlformats.org/officeDocument/2006/relationships/header" Target="header3.xml"/><Relationship Id="rId37" Type="http://schemas.openxmlformats.org/officeDocument/2006/relationships/footer" Target="footer1.xml"/><Relationship Id="rId38" Type="http://schemas.openxmlformats.org/officeDocument/2006/relationships/footer" Target="footer2.xml"/><Relationship Id="rId39" Type="http://schemas.openxmlformats.org/officeDocument/2006/relationships/footer" Target="footer3.xml"/><Relationship Id="rId40" Type="http://schemas.openxmlformats.org/officeDocument/2006/relationships/numbering" Target="numbering.xml"/><Relationship Id="rId41" Type="http://schemas.openxmlformats.org/officeDocument/2006/relationships/fontTable" Target="fontTable.xml"/><Relationship Id="rId42" Type="http://schemas.openxmlformats.org/officeDocument/2006/relationships/settings" Target="settings.xml"/><Relationship Id="rId43" Type="http://schemas.openxmlformats.org/officeDocument/2006/relationships/theme" Target="theme/theme1.xml"/><Relationship Id="rId4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Application>LibreOffice/26.2.6.3$Linux_X86_64 LibreOffice_project/620$Build-3</Application>
  <AppVersion>15.0000</AppVersion>
  <Pages>29</Pages>
  <Words>4942</Words>
  <Characters>40273</Characters>
  <CharactersWithSpaces>44962</CharactersWithSpaces>
  <Paragraphs>248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Учебный образец</dc:creator>
  <dc:description>generated by python-docx</dc:description>
  <cp:keywords>X5 SWOT PEST стратегия роботизация BPMN SMART нормативная база</cp:keywords>
  <dc:language>ru-RU</dc:language>
  <cp:lastModifiedBy/>
  <dcterms:modified xsi:type="dcterms:W3CDTF">2026-10-28T11:03:19Z</dcterms:modified>
  <cp:revision>36</cp:revision>
  <dc:subject>Модуль A: образец конкурсного аналитического отчёта</dc:subject>
  <dc:title>X5 Group — Анализ предметной области и стратегия развития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